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300607" w14:textId="7694FDA6" w:rsidR="00293BFA" w:rsidRPr="00573676" w:rsidRDefault="007937A9" w:rsidP="007937A9">
      <w:pPr>
        <w:pStyle w:val="NoSpacing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CD3D1F9" wp14:editId="03BD869C">
            <wp:extent cx="1922143" cy="88098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_mast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261" cy="88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3FFA1" w14:textId="77777777" w:rsidR="00293BFA" w:rsidRPr="00573676" w:rsidRDefault="00293BFA" w:rsidP="00293BFA">
      <w:pPr>
        <w:pStyle w:val="NoSpacing"/>
        <w:rPr>
          <w:lang w:val="en-GB"/>
        </w:rPr>
      </w:pPr>
    </w:p>
    <w:p w14:paraId="0852891A" w14:textId="77777777" w:rsidR="00293BFA" w:rsidRPr="00573676" w:rsidRDefault="00293BFA" w:rsidP="00293BFA">
      <w:pPr>
        <w:pStyle w:val="NoSpacing"/>
        <w:rPr>
          <w:lang w:val="en-GB"/>
        </w:rPr>
      </w:pPr>
    </w:p>
    <w:p w14:paraId="6162541B" w14:textId="77777777" w:rsidR="00293BFA" w:rsidRPr="00573676" w:rsidRDefault="00293BFA" w:rsidP="00293BFA">
      <w:pPr>
        <w:pStyle w:val="NoSpacing"/>
        <w:rPr>
          <w:lang w:val="en-GB"/>
        </w:rPr>
      </w:pPr>
    </w:p>
    <w:p w14:paraId="1441695A" w14:textId="77777777" w:rsidR="00293BFA" w:rsidRPr="00573676" w:rsidRDefault="00293BFA" w:rsidP="00293BFA">
      <w:pPr>
        <w:pStyle w:val="NoSpacing"/>
        <w:rPr>
          <w:lang w:val="en-GB"/>
        </w:rPr>
      </w:pPr>
    </w:p>
    <w:p w14:paraId="2C73577F" w14:textId="77777777" w:rsidR="00293BFA" w:rsidRPr="00573676" w:rsidRDefault="00293BFA" w:rsidP="00293BFA">
      <w:pPr>
        <w:pStyle w:val="NoSpacing"/>
        <w:rPr>
          <w:lang w:val="en-GB"/>
        </w:rPr>
      </w:pPr>
    </w:p>
    <w:p w14:paraId="5FF066A5" w14:textId="77777777" w:rsidR="00293BFA" w:rsidRPr="00573676" w:rsidRDefault="00293BFA" w:rsidP="00293BFA">
      <w:pPr>
        <w:pStyle w:val="NoSpacing"/>
        <w:rPr>
          <w:lang w:val="en-GB"/>
        </w:rPr>
      </w:pPr>
    </w:p>
    <w:p w14:paraId="249EBB09" w14:textId="77777777" w:rsidR="00293BFA" w:rsidRPr="00573676" w:rsidRDefault="00293BFA" w:rsidP="00293BFA">
      <w:pPr>
        <w:pStyle w:val="NoSpacing"/>
        <w:rPr>
          <w:lang w:val="en-GB"/>
        </w:rPr>
      </w:pPr>
    </w:p>
    <w:p w14:paraId="7879FBBE" w14:textId="77777777" w:rsidR="00293BFA" w:rsidRPr="00573676" w:rsidRDefault="00293BFA" w:rsidP="00293BFA">
      <w:pPr>
        <w:pStyle w:val="NoSpacing"/>
        <w:rPr>
          <w:sz w:val="72"/>
          <w:szCs w:val="72"/>
          <w:lang w:val="en-GB"/>
        </w:rPr>
      </w:pPr>
    </w:p>
    <w:p w14:paraId="7ABBA00E" w14:textId="77777777" w:rsidR="00293BFA" w:rsidRDefault="00293BFA" w:rsidP="00293BFA">
      <w:pPr>
        <w:pStyle w:val="NoSpacing"/>
        <w:rPr>
          <w:sz w:val="72"/>
          <w:szCs w:val="72"/>
          <w:lang w:val="en-GB"/>
        </w:rPr>
      </w:pPr>
    </w:p>
    <w:p w14:paraId="6FAF1E25" w14:textId="77777777" w:rsidR="00293BFA" w:rsidRDefault="00293BFA" w:rsidP="00293BFA">
      <w:pPr>
        <w:pStyle w:val="NoSpacing"/>
        <w:rPr>
          <w:sz w:val="72"/>
          <w:szCs w:val="72"/>
          <w:lang w:val="en-GB"/>
        </w:rPr>
      </w:pPr>
    </w:p>
    <w:p w14:paraId="1B168C95" w14:textId="77777777" w:rsidR="00293BFA" w:rsidRDefault="00293BFA" w:rsidP="00293BFA">
      <w:pPr>
        <w:pStyle w:val="NoSpacing"/>
        <w:rPr>
          <w:sz w:val="72"/>
          <w:szCs w:val="72"/>
          <w:lang w:val="en-GB"/>
        </w:rPr>
      </w:pPr>
    </w:p>
    <w:p w14:paraId="4B1BF609" w14:textId="77777777" w:rsidR="00293BFA" w:rsidRPr="00F22852" w:rsidRDefault="00293BFA" w:rsidP="00293BFA">
      <w:pPr>
        <w:pStyle w:val="NoSpacing"/>
        <w:rPr>
          <w:rFonts w:ascii="Aharoni" w:hAnsi="Aharoni" w:cs="Aharoni"/>
          <w:sz w:val="72"/>
          <w:szCs w:val="72"/>
          <w:lang w:val="en-GB"/>
        </w:rPr>
      </w:pPr>
    </w:p>
    <w:p w14:paraId="0ABAA32B" w14:textId="77777777" w:rsidR="00293BFA" w:rsidRPr="00F22852" w:rsidRDefault="00293BFA" w:rsidP="00293BFA">
      <w:pPr>
        <w:pStyle w:val="NoSpacing"/>
        <w:rPr>
          <w:rFonts w:cs="Aharoni"/>
          <w:sz w:val="72"/>
          <w:szCs w:val="72"/>
          <w:lang w:val="en-GB"/>
        </w:rPr>
      </w:pPr>
      <w:r w:rsidRPr="00F22852">
        <w:rPr>
          <w:rFonts w:cs="Aharoni"/>
          <w:sz w:val="72"/>
          <w:szCs w:val="72"/>
          <w:lang w:val="en-GB"/>
        </w:rPr>
        <w:t>ICE Services Ltd</w:t>
      </w:r>
    </w:p>
    <w:p w14:paraId="351271AD" w14:textId="74A58BA9" w:rsidR="00293BFA" w:rsidRPr="00F22852" w:rsidRDefault="006624E0" w:rsidP="00293BFA">
      <w:pPr>
        <w:pStyle w:val="NoSpacing"/>
        <w:rPr>
          <w:rFonts w:cs="Aharoni"/>
          <w:color w:val="3B3838" w:themeColor="background2" w:themeShade="40"/>
          <w:sz w:val="48"/>
          <w:szCs w:val="48"/>
          <w:lang w:val="en-GB"/>
        </w:rPr>
      </w:pPr>
      <w:r>
        <w:rPr>
          <w:rFonts w:cs="Aharoni"/>
          <w:color w:val="3B3838" w:themeColor="background2" w:themeShade="40"/>
          <w:sz w:val="48"/>
          <w:szCs w:val="48"/>
          <w:lang w:val="en-GB"/>
        </w:rPr>
        <w:t>Revenue Recognition</w:t>
      </w:r>
      <w:r w:rsidR="00043E09">
        <w:rPr>
          <w:rFonts w:cs="Aharoni"/>
          <w:color w:val="3B3838" w:themeColor="background2" w:themeShade="40"/>
          <w:sz w:val="48"/>
          <w:szCs w:val="48"/>
          <w:lang w:val="en-GB"/>
        </w:rPr>
        <w:t xml:space="preserve"> </w:t>
      </w:r>
      <w:r w:rsidR="00F22852" w:rsidRPr="00F22852">
        <w:rPr>
          <w:rFonts w:cs="Aharoni"/>
          <w:color w:val="3B3838" w:themeColor="background2" w:themeShade="40"/>
          <w:sz w:val="48"/>
          <w:szCs w:val="48"/>
          <w:lang w:val="en-GB"/>
        </w:rPr>
        <w:t>policy</w:t>
      </w:r>
    </w:p>
    <w:p w14:paraId="1F9FD783" w14:textId="77777777" w:rsidR="00293BFA" w:rsidRPr="00F22852" w:rsidRDefault="00293BFA" w:rsidP="00293BFA">
      <w:pPr>
        <w:pStyle w:val="NoSpacing"/>
        <w:rPr>
          <w:rFonts w:cs="Aharoni"/>
          <w:b/>
          <w:sz w:val="32"/>
          <w:szCs w:val="32"/>
          <w:lang w:val="en-GB"/>
        </w:rPr>
      </w:pPr>
    </w:p>
    <w:p w14:paraId="521B7203" w14:textId="77777777" w:rsidR="00293BFA" w:rsidRPr="00F22852" w:rsidRDefault="00293BFA" w:rsidP="00293BFA">
      <w:pPr>
        <w:pStyle w:val="NoSpacing"/>
        <w:rPr>
          <w:rFonts w:cs="Aharoni"/>
          <w:b/>
          <w:sz w:val="32"/>
          <w:szCs w:val="32"/>
          <w:lang w:val="en-GB"/>
        </w:rPr>
      </w:pPr>
    </w:p>
    <w:p w14:paraId="01F1CA7D" w14:textId="241CFE76" w:rsidR="00293BFA" w:rsidRPr="00F22852" w:rsidRDefault="00F22852" w:rsidP="00293BFA">
      <w:pPr>
        <w:pStyle w:val="NoSpacing"/>
        <w:rPr>
          <w:rFonts w:cs="Aharoni"/>
          <w:b/>
          <w:sz w:val="32"/>
          <w:szCs w:val="32"/>
          <w:lang w:val="en-GB"/>
        </w:rPr>
      </w:pPr>
      <w:r w:rsidRPr="00F22852">
        <w:rPr>
          <w:rFonts w:cs="Aharoni"/>
          <w:b/>
          <w:sz w:val="32"/>
          <w:szCs w:val="32"/>
          <w:lang w:val="en-GB"/>
        </w:rPr>
        <w:t>20</w:t>
      </w:r>
      <w:r w:rsidR="00F3314A" w:rsidRPr="00F22852">
        <w:rPr>
          <w:rFonts w:cs="Aharoni"/>
          <w:b/>
          <w:sz w:val="32"/>
          <w:szCs w:val="32"/>
          <w:lang w:val="en-GB"/>
        </w:rPr>
        <w:t xml:space="preserve"> </w:t>
      </w:r>
      <w:r w:rsidRPr="00F22852">
        <w:rPr>
          <w:rFonts w:cs="Aharoni"/>
          <w:b/>
          <w:sz w:val="32"/>
          <w:szCs w:val="32"/>
          <w:lang w:val="en-GB"/>
        </w:rPr>
        <w:t>November</w:t>
      </w:r>
      <w:r w:rsidR="00293BFA" w:rsidRPr="00F22852">
        <w:rPr>
          <w:rFonts w:cs="Aharoni"/>
          <w:b/>
          <w:sz w:val="32"/>
          <w:szCs w:val="32"/>
          <w:lang w:val="en-GB"/>
        </w:rPr>
        <w:t xml:space="preserve"> 2015</w:t>
      </w:r>
    </w:p>
    <w:p w14:paraId="33F1D861" w14:textId="77777777" w:rsidR="00293BFA" w:rsidRPr="00F22852" w:rsidRDefault="00293BFA" w:rsidP="00293BFA"/>
    <w:p w14:paraId="6006D934" w14:textId="77777777" w:rsidR="00293BFA" w:rsidRDefault="00293BFA">
      <w:pPr>
        <w:pStyle w:val="NormalWeb"/>
        <w:spacing w:before="2" w:after="2"/>
        <w:jc w:val="both"/>
        <w:rPr>
          <w:b/>
        </w:rPr>
      </w:pPr>
      <w:bookmarkStart w:id="0" w:name="_GoBack"/>
      <w:bookmarkEnd w:id="0"/>
    </w:p>
    <w:p w14:paraId="01C79A2D" w14:textId="77777777" w:rsidR="00076C65" w:rsidRPr="00076C65" w:rsidRDefault="00076C65">
      <w:pPr>
        <w:pStyle w:val="NormalWeb"/>
        <w:spacing w:before="2" w:after="2"/>
        <w:jc w:val="both"/>
        <w:rPr>
          <w:b/>
        </w:rPr>
      </w:pPr>
    </w:p>
    <w:p w14:paraId="6172749B" w14:textId="690F772D" w:rsidR="009A3FBD" w:rsidRDefault="002B3F31">
      <w:pPr>
        <w:pStyle w:val="NormalWeb"/>
        <w:spacing w:before="2" w:after="2"/>
        <w:jc w:val="both"/>
        <w:rPr>
          <w:b/>
        </w:rPr>
      </w:pPr>
      <w:r>
        <w:rPr>
          <w:b/>
        </w:rPr>
        <w:t>Author:</w:t>
      </w:r>
      <w:r w:rsidR="00F22852">
        <w:rPr>
          <w:b/>
        </w:rPr>
        <w:t xml:space="preserve"> Dean Russell</w:t>
      </w:r>
    </w:p>
    <w:p w14:paraId="115BEA6B" w14:textId="0E3CC206" w:rsidR="00C27C00" w:rsidRDefault="00C27C00">
      <w:pPr>
        <w:pStyle w:val="NormalWeb"/>
        <w:spacing w:before="2" w:after="2"/>
        <w:jc w:val="both"/>
        <w:rPr>
          <w:b/>
        </w:rPr>
      </w:pPr>
      <w:r>
        <w:rPr>
          <w:b/>
        </w:rPr>
        <w:t>Reviewed: Clara Boerkamp</w:t>
      </w:r>
    </w:p>
    <w:p w14:paraId="32D8EF9B" w14:textId="3740D9AB" w:rsidR="002B3F31" w:rsidRDefault="002B3F31">
      <w:pPr>
        <w:pStyle w:val="NormalWeb"/>
        <w:spacing w:before="2" w:after="2"/>
        <w:jc w:val="both"/>
        <w:rPr>
          <w:b/>
        </w:rPr>
      </w:pPr>
      <w:r>
        <w:rPr>
          <w:b/>
        </w:rPr>
        <w:t>Approved:</w:t>
      </w:r>
      <w:r w:rsidR="00F22852">
        <w:rPr>
          <w:b/>
        </w:rPr>
        <w:t xml:space="preserve"> </w:t>
      </w:r>
      <w:r w:rsidR="00E11A44">
        <w:rPr>
          <w:b/>
        </w:rPr>
        <w:t xml:space="preserve">ICE Services </w:t>
      </w:r>
      <w:r w:rsidR="002012AC">
        <w:rPr>
          <w:b/>
        </w:rPr>
        <w:t xml:space="preserve">Ltd </w:t>
      </w:r>
      <w:r w:rsidR="00E11A44">
        <w:rPr>
          <w:b/>
        </w:rPr>
        <w:t xml:space="preserve">Board </w:t>
      </w:r>
    </w:p>
    <w:p w14:paraId="19CC051C" w14:textId="77777777" w:rsidR="00D0400F" w:rsidRDefault="00D0400F">
      <w:pPr>
        <w:pStyle w:val="NormalWeb"/>
        <w:spacing w:before="2" w:after="2"/>
        <w:jc w:val="both"/>
        <w:rPr>
          <w:b/>
        </w:rPr>
      </w:pPr>
    </w:p>
    <w:p w14:paraId="42ECD3A5" w14:textId="77777777" w:rsidR="00D0400F" w:rsidRDefault="00D0400F">
      <w:pPr>
        <w:pStyle w:val="NormalWeb"/>
        <w:spacing w:before="2" w:after="2"/>
        <w:jc w:val="both"/>
        <w:rPr>
          <w:b/>
        </w:rPr>
      </w:pPr>
    </w:p>
    <w:p w14:paraId="180AFCD2" w14:textId="7891B836" w:rsidR="00D0400F" w:rsidRPr="00D0400F" w:rsidRDefault="00D0400F">
      <w:pPr>
        <w:rPr>
          <w:rFonts w:cs="Times New Roman"/>
        </w:rPr>
      </w:pPr>
      <w:r w:rsidRPr="00D0400F">
        <w:br w:type="page"/>
      </w:r>
    </w:p>
    <w:p w14:paraId="0954EB1A" w14:textId="77777777" w:rsidR="00D0400F" w:rsidRPr="00076C65" w:rsidRDefault="00D0400F">
      <w:pPr>
        <w:pStyle w:val="NormalWeb"/>
        <w:spacing w:before="2" w:after="2"/>
        <w:jc w:val="both"/>
        <w:rPr>
          <w:b/>
        </w:rPr>
      </w:pPr>
    </w:p>
    <w:p w14:paraId="7EF04A5B" w14:textId="77777777" w:rsidR="009A3FBD" w:rsidRPr="00076C65" w:rsidRDefault="009A3FBD">
      <w:pPr>
        <w:pStyle w:val="NormalWeb"/>
        <w:spacing w:before="2" w:after="2"/>
        <w:jc w:val="both"/>
        <w:rPr>
          <w:b/>
        </w:rPr>
      </w:pPr>
    </w:p>
    <w:bookmarkStart w:id="1" w:name="_Toc438540364" w:displacedByCustomXml="next"/>
    <w:bookmarkStart w:id="2" w:name="_Toc436300284" w:displacedByCustomXml="next"/>
    <w:sdt>
      <w:sdtPr>
        <w:rPr>
          <w:rFonts w:ascii="Times" w:eastAsiaTheme="minorEastAsia" w:hAnsi="Times" w:cstheme="minorBidi"/>
          <w:color w:val="auto"/>
          <w:sz w:val="20"/>
          <w:szCs w:val="20"/>
        </w:rPr>
        <w:id w:val="-338469875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  <w:noProof/>
          <w:sz w:val="22"/>
        </w:rPr>
      </w:sdtEndPr>
      <w:sdtContent>
        <w:p w14:paraId="37CBBED8" w14:textId="134B5656" w:rsidR="00CD471A" w:rsidRPr="002B3F31" w:rsidRDefault="00CD471A" w:rsidP="001D3C0B">
          <w:pPr>
            <w:pStyle w:val="Heading1"/>
            <w:numPr>
              <w:ilvl w:val="0"/>
              <w:numId w:val="0"/>
            </w:numPr>
            <w:ind w:left="360" w:hanging="360"/>
          </w:pPr>
          <w:r w:rsidRPr="002B3F31">
            <w:t>Contents</w:t>
          </w:r>
          <w:bookmarkEnd w:id="2"/>
          <w:bookmarkEnd w:id="1"/>
        </w:p>
        <w:p w14:paraId="0B2079A5" w14:textId="63CED7E2" w:rsidR="009D3F2B" w:rsidRDefault="00CD471A">
          <w:pPr>
            <w:pStyle w:val="TOC1"/>
            <w:rPr>
              <w:noProof/>
              <w:szCs w:val="22"/>
            </w:rPr>
          </w:pPr>
          <w:r w:rsidRPr="00F01E5D">
            <w:rPr>
              <w:szCs w:val="22"/>
            </w:rPr>
            <w:fldChar w:fldCharType="begin"/>
          </w:r>
          <w:r w:rsidRPr="00F01E5D">
            <w:rPr>
              <w:szCs w:val="22"/>
            </w:rPr>
            <w:instrText xml:space="preserve"> TOC \o "1-3" \h \z \u </w:instrText>
          </w:r>
          <w:r w:rsidRPr="00F01E5D">
            <w:rPr>
              <w:szCs w:val="22"/>
            </w:rPr>
            <w:fldChar w:fldCharType="separate"/>
          </w:r>
        </w:p>
        <w:p w14:paraId="77E77393" w14:textId="58D4B757" w:rsidR="009D3F2B" w:rsidRDefault="002012AC">
          <w:pPr>
            <w:pStyle w:val="TOC1"/>
            <w:rPr>
              <w:noProof/>
              <w:szCs w:val="22"/>
            </w:rPr>
          </w:pPr>
          <w:hyperlink w:anchor="_Toc438540365" w:history="1">
            <w:r w:rsidR="009D3F2B" w:rsidRPr="00EC6318">
              <w:rPr>
                <w:rStyle w:val="Hyperlink"/>
                <w:noProof/>
              </w:rPr>
              <w:t>1.</w:t>
            </w:r>
            <w:r w:rsidR="009D3F2B">
              <w:rPr>
                <w:noProof/>
                <w:szCs w:val="22"/>
              </w:rPr>
              <w:tab/>
            </w:r>
            <w:r w:rsidR="00BC01BB">
              <w:rPr>
                <w:rStyle w:val="Hyperlink"/>
                <w:noProof/>
              </w:rPr>
              <w:t>Intro</w:t>
            </w:r>
            <w:r w:rsidR="009D3F2B" w:rsidRPr="00EC6318">
              <w:rPr>
                <w:rStyle w:val="Hyperlink"/>
                <w:noProof/>
              </w:rPr>
              <w:t>duction - Revenue</w:t>
            </w:r>
            <w:r w:rsidR="009D3F2B">
              <w:rPr>
                <w:noProof/>
                <w:webHidden/>
              </w:rPr>
              <w:tab/>
            </w:r>
            <w:r w:rsidR="009D3F2B">
              <w:rPr>
                <w:noProof/>
                <w:webHidden/>
              </w:rPr>
              <w:fldChar w:fldCharType="begin"/>
            </w:r>
            <w:r w:rsidR="009D3F2B">
              <w:rPr>
                <w:noProof/>
                <w:webHidden/>
              </w:rPr>
              <w:instrText xml:space="preserve"> PAGEREF _Toc438540365 \h </w:instrText>
            </w:r>
            <w:r w:rsidR="009D3F2B">
              <w:rPr>
                <w:noProof/>
                <w:webHidden/>
              </w:rPr>
            </w:r>
            <w:r w:rsidR="009D3F2B">
              <w:rPr>
                <w:noProof/>
                <w:webHidden/>
              </w:rPr>
              <w:fldChar w:fldCharType="separate"/>
            </w:r>
            <w:r w:rsidR="009D3F2B">
              <w:rPr>
                <w:noProof/>
                <w:webHidden/>
              </w:rPr>
              <w:t>3</w:t>
            </w:r>
            <w:r w:rsidR="009D3F2B">
              <w:rPr>
                <w:noProof/>
                <w:webHidden/>
              </w:rPr>
              <w:fldChar w:fldCharType="end"/>
            </w:r>
          </w:hyperlink>
        </w:p>
        <w:p w14:paraId="0549B6EE" w14:textId="77777777" w:rsidR="009D3F2B" w:rsidRDefault="002012AC">
          <w:pPr>
            <w:pStyle w:val="TOC1"/>
            <w:rPr>
              <w:noProof/>
              <w:szCs w:val="22"/>
            </w:rPr>
          </w:pPr>
          <w:hyperlink w:anchor="_Toc438540366" w:history="1">
            <w:r w:rsidR="009D3F2B" w:rsidRPr="00EC6318">
              <w:rPr>
                <w:rStyle w:val="Hyperlink"/>
                <w:noProof/>
              </w:rPr>
              <w:t>2.</w:t>
            </w:r>
            <w:r w:rsidR="009D3F2B">
              <w:rPr>
                <w:noProof/>
                <w:szCs w:val="22"/>
              </w:rPr>
              <w:tab/>
            </w:r>
            <w:r w:rsidR="009D3F2B" w:rsidRPr="00EC6318">
              <w:rPr>
                <w:rStyle w:val="Hyperlink"/>
                <w:noProof/>
              </w:rPr>
              <w:t>Recognition of revenue for a standard transaction (no WHT)</w:t>
            </w:r>
            <w:r w:rsidR="009D3F2B">
              <w:rPr>
                <w:noProof/>
                <w:webHidden/>
              </w:rPr>
              <w:tab/>
            </w:r>
            <w:r w:rsidR="009D3F2B">
              <w:rPr>
                <w:noProof/>
                <w:webHidden/>
              </w:rPr>
              <w:fldChar w:fldCharType="begin"/>
            </w:r>
            <w:r w:rsidR="009D3F2B">
              <w:rPr>
                <w:noProof/>
                <w:webHidden/>
              </w:rPr>
              <w:instrText xml:space="preserve"> PAGEREF _Toc438540366 \h </w:instrText>
            </w:r>
            <w:r w:rsidR="009D3F2B">
              <w:rPr>
                <w:noProof/>
                <w:webHidden/>
              </w:rPr>
            </w:r>
            <w:r w:rsidR="009D3F2B">
              <w:rPr>
                <w:noProof/>
                <w:webHidden/>
              </w:rPr>
              <w:fldChar w:fldCharType="separate"/>
            </w:r>
            <w:r w:rsidR="009D3F2B">
              <w:rPr>
                <w:noProof/>
                <w:webHidden/>
              </w:rPr>
              <w:t>3</w:t>
            </w:r>
            <w:r w:rsidR="009D3F2B">
              <w:rPr>
                <w:noProof/>
                <w:webHidden/>
              </w:rPr>
              <w:fldChar w:fldCharType="end"/>
            </w:r>
          </w:hyperlink>
        </w:p>
        <w:p w14:paraId="77FB8AEB" w14:textId="77777777" w:rsidR="009D3F2B" w:rsidRDefault="002012AC">
          <w:pPr>
            <w:pStyle w:val="TOC1"/>
            <w:rPr>
              <w:noProof/>
              <w:szCs w:val="22"/>
            </w:rPr>
          </w:pPr>
          <w:hyperlink w:anchor="_Toc438540367" w:history="1">
            <w:r w:rsidR="009D3F2B" w:rsidRPr="00EC6318">
              <w:rPr>
                <w:rStyle w:val="Hyperlink"/>
                <w:noProof/>
              </w:rPr>
              <w:t>3.</w:t>
            </w:r>
            <w:r w:rsidR="009D3F2B">
              <w:rPr>
                <w:noProof/>
                <w:szCs w:val="22"/>
              </w:rPr>
              <w:tab/>
            </w:r>
            <w:r w:rsidR="009D3F2B" w:rsidRPr="00EC6318">
              <w:rPr>
                <w:rStyle w:val="Hyperlink"/>
                <w:noProof/>
              </w:rPr>
              <w:t>Recognition of revenue for a standard transaction (WHT)</w:t>
            </w:r>
            <w:r w:rsidR="009D3F2B">
              <w:rPr>
                <w:noProof/>
                <w:webHidden/>
              </w:rPr>
              <w:tab/>
            </w:r>
            <w:r w:rsidR="009D3F2B">
              <w:rPr>
                <w:noProof/>
                <w:webHidden/>
              </w:rPr>
              <w:fldChar w:fldCharType="begin"/>
            </w:r>
            <w:r w:rsidR="009D3F2B">
              <w:rPr>
                <w:noProof/>
                <w:webHidden/>
              </w:rPr>
              <w:instrText xml:space="preserve"> PAGEREF _Toc438540367 \h </w:instrText>
            </w:r>
            <w:r w:rsidR="009D3F2B">
              <w:rPr>
                <w:noProof/>
                <w:webHidden/>
              </w:rPr>
            </w:r>
            <w:r w:rsidR="009D3F2B">
              <w:rPr>
                <w:noProof/>
                <w:webHidden/>
              </w:rPr>
              <w:fldChar w:fldCharType="separate"/>
            </w:r>
            <w:r w:rsidR="009D3F2B">
              <w:rPr>
                <w:noProof/>
                <w:webHidden/>
              </w:rPr>
              <w:t>3</w:t>
            </w:r>
            <w:r w:rsidR="009D3F2B">
              <w:rPr>
                <w:noProof/>
                <w:webHidden/>
              </w:rPr>
              <w:fldChar w:fldCharType="end"/>
            </w:r>
          </w:hyperlink>
        </w:p>
        <w:p w14:paraId="080D5DFF" w14:textId="77777777" w:rsidR="009D3F2B" w:rsidRDefault="002012AC">
          <w:pPr>
            <w:pStyle w:val="TOC1"/>
            <w:rPr>
              <w:noProof/>
              <w:szCs w:val="22"/>
            </w:rPr>
          </w:pPr>
          <w:hyperlink w:anchor="_Toc438540368" w:history="1">
            <w:r w:rsidR="009D3F2B" w:rsidRPr="00EC6318">
              <w:rPr>
                <w:rStyle w:val="Hyperlink"/>
                <w:noProof/>
              </w:rPr>
              <w:t>4.</w:t>
            </w:r>
            <w:r w:rsidR="009D3F2B">
              <w:rPr>
                <w:noProof/>
                <w:szCs w:val="22"/>
              </w:rPr>
              <w:tab/>
            </w:r>
            <w:r w:rsidR="009D3F2B" w:rsidRPr="00EC6318">
              <w:rPr>
                <w:rStyle w:val="Hyperlink"/>
                <w:noProof/>
              </w:rPr>
              <w:t>Recognition of revenue for a lump sum or advance</w:t>
            </w:r>
            <w:r w:rsidR="009D3F2B">
              <w:rPr>
                <w:noProof/>
                <w:webHidden/>
              </w:rPr>
              <w:tab/>
            </w:r>
            <w:r w:rsidR="009D3F2B">
              <w:rPr>
                <w:noProof/>
                <w:webHidden/>
              </w:rPr>
              <w:fldChar w:fldCharType="begin"/>
            </w:r>
            <w:r w:rsidR="009D3F2B">
              <w:rPr>
                <w:noProof/>
                <w:webHidden/>
              </w:rPr>
              <w:instrText xml:space="preserve"> PAGEREF _Toc438540368 \h </w:instrText>
            </w:r>
            <w:r w:rsidR="009D3F2B">
              <w:rPr>
                <w:noProof/>
                <w:webHidden/>
              </w:rPr>
            </w:r>
            <w:r w:rsidR="009D3F2B">
              <w:rPr>
                <w:noProof/>
                <w:webHidden/>
              </w:rPr>
              <w:fldChar w:fldCharType="separate"/>
            </w:r>
            <w:r w:rsidR="009D3F2B">
              <w:rPr>
                <w:noProof/>
                <w:webHidden/>
              </w:rPr>
              <w:t>3</w:t>
            </w:r>
            <w:r w:rsidR="009D3F2B">
              <w:rPr>
                <w:noProof/>
                <w:webHidden/>
              </w:rPr>
              <w:fldChar w:fldCharType="end"/>
            </w:r>
          </w:hyperlink>
        </w:p>
        <w:p w14:paraId="03DBC699" w14:textId="77777777" w:rsidR="009D3F2B" w:rsidRDefault="002012AC">
          <w:pPr>
            <w:pStyle w:val="TOC1"/>
            <w:rPr>
              <w:noProof/>
              <w:szCs w:val="22"/>
            </w:rPr>
          </w:pPr>
          <w:hyperlink w:anchor="_Toc438540369" w:history="1">
            <w:r w:rsidR="009D3F2B" w:rsidRPr="00EC6318">
              <w:rPr>
                <w:rStyle w:val="Hyperlink"/>
                <w:noProof/>
              </w:rPr>
              <w:t>5.</w:t>
            </w:r>
            <w:r w:rsidR="009D3F2B">
              <w:rPr>
                <w:noProof/>
                <w:szCs w:val="22"/>
              </w:rPr>
              <w:tab/>
            </w:r>
            <w:r w:rsidR="009D3F2B" w:rsidRPr="00EC6318">
              <w:rPr>
                <w:rStyle w:val="Hyperlink"/>
                <w:noProof/>
              </w:rPr>
              <w:t>Service fees</w:t>
            </w:r>
            <w:r w:rsidR="009D3F2B">
              <w:rPr>
                <w:noProof/>
                <w:webHidden/>
              </w:rPr>
              <w:tab/>
            </w:r>
            <w:r w:rsidR="009D3F2B">
              <w:rPr>
                <w:noProof/>
                <w:webHidden/>
              </w:rPr>
              <w:fldChar w:fldCharType="begin"/>
            </w:r>
            <w:r w:rsidR="009D3F2B">
              <w:rPr>
                <w:noProof/>
                <w:webHidden/>
              </w:rPr>
              <w:instrText xml:space="preserve"> PAGEREF _Toc438540369 \h </w:instrText>
            </w:r>
            <w:r w:rsidR="009D3F2B">
              <w:rPr>
                <w:noProof/>
                <w:webHidden/>
              </w:rPr>
            </w:r>
            <w:r w:rsidR="009D3F2B">
              <w:rPr>
                <w:noProof/>
                <w:webHidden/>
              </w:rPr>
              <w:fldChar w:fldCharType="separate"/>
            </w:r>
            <w:r w:rsidR="009D3F2B">
              <w:rPr>
                <w:noProof/>
                <w:webHidden/>
              </w:rPr>
              <w:t>4</w:t>
            </w:r>
            <w:r w:rsidR="009D3F2B">
              <w:rPr>
                <w:noProof/>
                <w:webHidden/>
              </w:rPr>
              <w:fldChar w:fldCharType="end"/>
            </w:r>
          </w:hyperlink>
        </w:p>
        <w:p w14:paraId="215E8F96" w14:textId="77777777" w:rsidR="009D3F2B" w:rsidRDefault="002012AC">
          <w:pPr>
            <w:pStyle w:val="TOC1"/>
            <w:rPr>
              <w:noProof/>
              <w:szCs w:val="22"/>
            </w:rPr>
          </w:pPr>
          <w:hyperlink w:anchor="_Toc438540370" w:history="1">
            <w:r w:rsidR="009D3F2B" w:rsidRPr="00EC6318">
              <w:rPr>
                <w:rStyle w:val="Hyperlink"/>
                <w:noProof/>
              </w:rPr>
              <w:t>6.</w:t>
            </w:r>
            <w:r w:rsidR="009D3F2B">
              <w:rPr>
                <w:noProof/>
                <w:szCs w:val="22"/>
              </w:rPr>
              <w:tab/>
            </w:r>
            <w:r w:rsidR="009D3F2B" w:rsidRPr="00EC6318">
              <w:rPr>
                <w:rStyle w:val="Hyperlink"/>
                <w:noProof/>
              </w:rPr>
              <w:t>Interest</w:t>
            </w:r>
            <w:r w:rsidR="009D3F2B">
              <w:rPr>
                <w:noProof/>
                <w:webHidden/>
              </w:rPr>
              <w:tab/>
            </w:r>
            <w:r w:rsidR="009D3F2B">
              <w:rPr>
                <w:noProof/>
                <w:webHidden/>
              </w:rPr>
              <w:fldChar w:fldCharType="begin"/>
            </w:r>
            <w:r w:rsidR="009D3F2B">
              <w:rPr>
                <w:noProof/>
                <w:webHidden/>
              </w:rPr>
              <w:instrText xml:space="preserve"> PAGEREF _Toc438540370 \h </w:instrText>
            </w:r>
            <w:r w:rsidR="009D3F2B">
              <w:rPr>
                <w:noProof/>
                <w:webHidden/>
              </w:rPr>
            </w:r>
            <w:r w:rsidR="009D3F2B">
              <w:rPr>
                <w:noProof/>
                <w:webHidden/>
              </w:rPr>
              <w:fldChar w:fldCharType="separate"/>
            </w:r>
            <w:r w:rsidR="009D3F2B">
              <w:rPr>
                <w:noProof/>
                <w:webHidden/>
              </w:rPr>
              <w:t>4</w:t>
            </w:r>
            <w:r w:rsidR="009D3F2B">
              <w:rPr>
                <w:noProof/>
                <w:webHidden/>
              </w:rPr>
              <w:fldChar w:fldCharType="end"/>
            </w:r>
          </w:hyperlink>
        </w:p>
        <w:p w14:paraId="43B72337" w14:textId="77777777" w:rsidR="009D3F2B" w:rsidRDefault="002012AC">
          <w:pPr>
            <w:pStyle w:val="TOC1"/>
            <w:rPr>
              <w:noProof/>
              <w:szCs w:val="22"/>
            </w:rPr>
          </w:pPr>
          <w:hyperlink w:anchor="_Toc438540371" w:history="1">
            <w:r w:rsidR="009D3F2B" w:rsidRPr="00EC6318">
              <w:rPr>
                <w:rStyle w:val="Hyperlink"/>
                <w:noProof/>
              </w:rPr>
              <w:t>7.</w:t>
            </w:r>
            <w:r w:rsidR="009D3F2B">
              <w:rPr>
                <w:noProof/>
                <w:szCs w:val="22"/>
              </w:rPr>
              <w:tab/>
            </w:r>
            <w:r w:rsidR="009D3F2B" w:rsidRPr="00EC6318">
              <w:rPr>
                <w:rStyle w:val="Hyperlink"/>
                <w:noProof/>
              </w:rPr>
              <w:t>Other revenue</w:t>
            </w:r>
            <w:r w:rsidR="009D3F2B">
              <w:rPr>
                <w:noProof/>
                <w:webHidden/>
              </w:rPr>
              <w:tab/>
            </w:r>
            <w:r w:rsidR="009D3F2B">
              <w:rPr>
                <w:noProof/>
                <w:webHidden/>
              </w:rPr>
              <w:fldChar w:fldCharType="begin"/>
            </w:r>
            <w:r w:rsidR="009D3F2B">
              <w:rPr>
                <w:noProof/>
                <w:webHidden/>
              </w:rPr>
              <w:instrText xml:space="preserve"> PAGEREF _Toc438540371 \h </w:instrText>
            </w:r>
            <w:r w:rsidR="009D3F2B">
              <w:rPr>
                <w:noProof/>
                <w:webHidden/>
              </w:rPr>
            </w:r>
            <w:r w:rsidR="009D3F2B">
              <w:rPr>
                <w:noProof/>
                <w:webHidden/>
              </w:rPr>
              <w:fldChar w:fldCharType="separate"/>
            </w:r>
            <w:r w:rsidR="009D3F2B">
              <w:rPr>
                <w:noProof/>
                <w:webHidden/>
              </w:rPr>
              <w:t>4</w:t>
            </w:r>
            <w:r w:rsidR="009D3F2B">
              <w:rPr>
                <w:noProof/>
                <w:webHidden/>
              </w:rPr>
              <w:fldChar w:fldCharType="end"/>
            </w:r>
          </w:hyperlink>
        </w:p>
        <w:p w14:paraId="1E6535FE" w14:textId="333BAC3C" w:rsidR="00CD471A" w:rsidRDefault="00CD471A">
          <w:r w:rsidRPr="00F01E5D">
            <w:rPr>
              <w:b/>
              <w:bCs/>
              <w:noProof/>
              <w:szCs w:val="22"/>
            </w:rPr>
            <w:fldChar w:fldCharType="end"/>
          </w:r>
        </w:p>
      </w:sdtContent>
    </w:sdt>
    <w:p w14:paraId="3A9A2A66" w14:textId="77777777" w:rsidR="00CD471A" w:rsidRPr="00CD471A" w:rsidRDefault="00CD471A" w:rsidP="00CD471A"/>
    <w:p w14:paraId="55659C62" w14:textId="77777777" w:rsidR="004F2496" w:rsidRDefault="004F249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361730D" w14:textId="48EBD12F" w:rsidR="009A3FBD" w:rsidRDefault="001D3C0B" w:rsidP="00825A1B">
      <w:pPr>
        <w:pStyle w:val="Heading1"/>
      </w:pPr>
      <w:bookmarkStart w:id="3" w:name="_Toc438540365"/>
      <w:r>
        <w:lastRenderedPageBreak/>
        <w:t>Int</w:t>
      </w:r>
      <w:r w:rsidR="00815D2F">
        <w:t>ro</w:t>
      </w:r>
      <w:r>
        <w:t>duction - Revenue</w:t>
      </w:r>
      <w:bookmarkEnd w:id="3"/>
    </w:p>
    <w:p w14:paraId="4E2A1A08" w14:textId="5A9F27E4" w:rsidR="00825A1B" w:rsidRDefault="00825A1B" w:rsidP="00825A1B">
      <w:pPr>
        <w:rPr>
          <w:iCs/>
          <w:szCs w:val="22"/>
        </w:rPr>
      </w:pPr>
      <w:r w:rsidRPr="00825A1B">
        <w:rPr>
          <w:iCs/>
          <w:szCs w:val="22"/>
        </w:rPr>
        <w:t>Revenue in ICE Services Ltd is the commission</w:t>
      </w:r>
      <w:r w:rsidR="009D3F2B">
        <w:rPr>
          <w:iCs/>
          <w:szCs w:val="22"/>
        </w:rPr>
        <w:t xml:space="preserve"> </w:t>
      </w:r>
      <w:r w:rsidR="00E53896">
        <w:rPr>
          <w:iCs/>
          <w:szCs w:val="22"/>
        </w:rPr>
        <w:t xml:space="preserve">on core licenses </w:t>
      </w:r>
      <w:r w:rsidR="009D3F2B">
        <w:rPr>
          <w:iCs/>
          <w:szCs w:val="22"/>
        </w:rPr>
        <w:t xml:space="preserve">or </w:t>
      </w:r>
      <w:r w:rsidR="00E53896">
        <w:rPr>
          <w:iCs/>
          <w:szCs w:val="22"/>
        </w:rPr>
        <w:t xml:space="preserve">the </w:t>
      </w:r>
      <w:r w:rsidR="009D3F2B">
        <w:rPr>
          <w:iCs/>
          <w:szCs w:val="22"/>
        </w:rPr>
        <w:t>service fee</w:t>
      </w:r>
      <w:r w:rsidRPr="00825A1B">
        <w:rPr>
          <w:iCs/>
          <w:szCs w:val="22"/>
        </w:rPr>
        <w:t xml:space="preserve"> it earns on distribution not its invoiced income.</w:t>
      </w:r>
    </w:p>
    <w:p w14:paraId="6637AD67" w14:textId="77777777" w:rsidR="00825A1B" w:rsidRPr="00825A1B" w:rsidRDefault="00825A1B" w:rsidP="00825A1B">
      <w:pPr>
        <w:rPr>
          <w:iCs/>
          <w:szCs w:val="22"/>
        </w:rPr>
      </w:pPr>
    </w:p>
    <w:p w14:paraId="403588A3" w14:textId="31064050" w:rsidR="00825A1B" w:rsidRDefault="009D3F2B" w:rsidP="00825A1B">
      <w:pPr>
        <w:rPr>
          <w:iCs/>
          <w:szCs w:val="22"/>
        </w:rPr>
      </w:pPr>
      <w:r>
        <w:rPr>
          <w:iCs/>
          <w:szCs w:val="22"/>
        </w:rPr>
        <w:t>Both are</w:t>
      </w:r>
      <w:r w:rsidR="00825A1B" w:rsidRPr="00825A1B">
        <w:rPr>
          <w:iCs/>
          <w:szCs w:val="22"/>
        </w:rPr>
        <w:t xml:space="preserve"> generally recognised at the point of distribution, with the exception of commission earned on lump</w:t>
      </w:r>
      <w:r w:rsidR="00825A1B">
        <w:rPr>
          <w:iCs/>
          <w:szCs w:val="22"/>
        </w:rPr>
        <w:t xml:space="preserve"> </w:t>
      </w:r>
      <w:r w:rsidR="00825A1B" w:rsidRPr="00825A1B">
        <w:rPr>
          <w:iCs/>
          <w:szCs w:val="22"/>
        </w:rPr>
        <w:t>sums which may vary.</w:t>
      </w:r>
    </w:p>
    <w:p w14:paraId="0104481A" w14:textId="77777777" w:rsidR="00825A1B" w:rsidRPr="00825A1B" w:rsidRDefault="00825A1B" w:rsidP="00825A1B">
      <w:pPr>
        <w:rPr>
          <w:iCs/>
          <w:szCs w:val="22"/>
        </w:rPr>
      </w:pPr>
    </w:p>
    <w:p w14:paraId="7EA047F8" w14:textId="2984C992" w:rsidR="001D27A5" w:rsidRDefault="00825A1B" w:rsidP="00825A1B">
      <w:pPr>
        <w:rPr>
          <w:iCs/>
          <w:szCs w:val="22"/>
        </w:rPr>
      </w:pPr>
      <w:r w:rsidRPr="00E927A4">
        <w:rPr>
          <w:iCs/>
          <w:szCs w:val="22"/>
        </w:rPr>
        <w:t xml:space="preserve">The </w:t>
      </w:r>
      <w:r w:rsidR="00E927A4" w:rsidRPr="00E927A4">
        <w:rPr>
          <w:iCs/>
          <w:szCs w:val="22"/>
        </w:rPr>
        <w:t>4</w:t>
      </w:r>
      <w:r w:rsidRPr="00E927A4">
        <w:rPr>
          <w:iCs/>
          <w:szCs w:val="22"/>
        </w:rPr>
        <w:t xml:space="preserve"> scenarios</w:t>
      </w:r>
      <w:r w:rsidRPr="00825A1B">
        <w:rPr>
          <w:iCs/>
          <w:szCs w:val="22"/>
        </w:rPr>
        <w:t xml:space="preserve"> below show when commission is recognised in different circumstances.</w:t>
      </w:r>
    </w:p>
    <w:p w14:paraId="57DE11CE" w14:textId="77777777" w:rsidR="009D3F2B" w:rsidRDefault="009D3F2B" w:rsidP="00825A1B">
      <w:pPr>
        <w:rPr>
          <w:iCs/>
          <w:szCs w:val="22"/>
        </w:rPr>
      </w:pPr>
    </w:p>
    <w:p w14:paraId="7D5DF661" w14:textId="058F3366" w:rsidR="009D3F2B" w:rsidRDefault="009D3F2B" w:rsidP="00825A1B">
      <w:pPr>
        <w:rPr>
          <w:iCs/>
          <w:szCs w:val="22"/>
        </w:rPr>
      </w:pPr>
      <w:r>
        <w:rPr>
          <w:iCs/>
          <w:szCs w:val="22"/>
        </w:rPr>
        <w:t xml:space="preserve">Ice Services Ltd has a policy of passing any financial benefit it realises, as a result of efficiencies achieved in its establishment and on-going activities back to the </w:t>
      </w:r>
      <w:proofErr w:type="spellStart"/>
      <w:r>
        <w:rPr>
          <w:iCs/>
          <w:szCs w:val="22"/>
        </w:rPr>
        <w:t>rightsholders</w:t>
      </w:r>
      <w:proofErr w:type="spellEnd"/>
      <w:r>
        <w:rPr>
          <w:iCs/>
          <w:szCs w:val="22"/>
        </w:rPr>
        <w:t xml:space="preserve"> it represents.</w:t>
      </w:r>
    </w:p>
    <w:p w14:paraId="4C1B1460" w14:textId="6BBF3B15" w:rsidR="009D3F2B" w:rsidRPr="009D3F2B" w:rsidRDefault="009D3F2B" w:rsidP="00825A1B">
      <w:pPr>
        <w:rPr>
          <w:iCs/>
          <w:szCs w:val="22"/>
        </w:rPr>
      </w:pPr>
      <w:r>
        <w:rPr>
          <w:iCs/>
          <w:szCs w:val="22"/>
        </w:rPr>
        <w:t xml:space="preserve">As such all commissions and services fees </w:t>
      </w:r>
      <w:r>
        <w:t>will</w:t>
      </w:r>
      <w:r w:rsidRPr="009D3F2B">
        <w:t xml:space="preserve"> be based on docu</w:t>
      </w:r>
      <w:r>
        <w:t xml:space="preserve">mented costs, </w:t>
      </w:r>
      <w:r w:rsidRPr="009D3F2B">
        <w:t>the annual budget for which will require approval from the ICE Services Board</w:t>
      </w:r>
      <w:r>
        <w:t xml:space="preserve"> annually</w:t>
      </w:r>
      <w:r w:rsidRPr="009D3F2B">
        <w:t>, and be subject to audit by the ICE</w:t>
      </w:r>
      <w:r>
        <w:t xml:space="preserve"> </w:t>
      </w:r>
      <w:r w:rsidR="00554C80">
        <w:t>Services Risk &amp; Assurance</w:t>
      </w:r>
      <w:r w:rsidRPr="009D3F2B">
        <w:t xml:space="preserve"> Committee.</w:t>
      </w:r>
    </w:p>
    <w:p w14:paraId="0F82DD87" w14:textId="77777777" w:rsidR="00825A1B" w:rsidRPr="009D3F2B" w:rsidRDefault="00825A1B" w:rsidP="00825A1B"/>
    <w:p w14:paraId="161E0522" w14:textId="454D4327" w:rsidR="002B3F31" w:rsidRDefault="00825A1B" w:rsidP="00825A1B">
      <w:pPr>
        <w:pStyle w:val="Heading1"/>
      </w:pPr>
      <w:bookmarkStart w:id="4" w:name="_Toc438540366"/>
      <w:r>
        <w:t>Recognition of revenue for a standard transaction (no WHT)</w:t>
      </w:r>
      <w:bookmarkEnd w:id="4"/>
    </w:p>
    <w:p w14:paraId="28AAFD6C" w14:textId="77777777" w:rsidR="00825A1B" w:rsidRDefault="00825A1B" w:rsidP="00825A1B">
      <w:r>
        <w:t>Sequence of events:-</w:t>
      </w:r>
    </w:p>
    <w:p w14:paraId="42C8ECFA" w14:textId="77777777" w:rsidR="00825A1B" w:rsidRDefault="00825A1B" w:rsidP="00825A1B">
      <w:pPr>
        <w:pStyle w:val="ListParagraph"/>
        <w:numPr>
          <w:ilvl w:val="0"/>
          <w:numId w:val="44"/>
        </w:numPr>
      </w:pPr>
      <w:r>
        <w:t>Usage data received from DSP</w:t>
      </w:r>
    </w:p>
    <w:p w14:paraId="31381D5F" w14:textId="77777777" w:rsidR="00825A1B" w:rsidRDefault="00825A1B" w:rsidP="00825A1B">
      <w:pPr>
        <w:pStyle w:val="ListParagraph"/>
        <w:numPr>
          <w:ilvl w:val="0"/>
          <w:numId w:val="44"/>
        </w:numPr>
      </w:pPr>
      <w:r>
        <w:t>Data processed and files passed to CODA for invoicing</w:t>
      </w:r>
    </w:p>
    <w:p w14:paraId="50CB843A" w14:textId="77777777" w:rsidR="00825A1B" w:rsidRDefault="00825A1B" w:rsidP="00825A1B">
      <w:pPr>
        <w:pStyle w:val="ListParagraph"/>
        <w:numPr>
          <w:ilvl w:val="0"/>
          <w:numId w:val="44"/>
        </w:numPr>
      </w:pPr>
      <w:r>
        <w:t xml:space="preserve">Invoice raised and sent to DSP </w:t>
      </w:r>
    </w:p>
    <w:p w14:paraId="2A9C802F" w14:textId="77777777" w:rsidR="00825A1B" w:rsidRDefault="00825A1B" w:rsidP="00825A1B">
      <w:pPr>
        <w:pStyle w:val="ListParagraph"/>
        <w:numPr>
          <w:ilvl w:val="0"/>
          <w:numId w:val="44"/>
        </w:numPr>
      </w:pPr>
      <w:r>
        <w:t>DSP pays invoice in full</w:t>
      </w:r>
    </w:p>
    <w:p w14:paraId="50EE601E" w14:textId="77777777" w:rsidR="00825A1B" w:rsidRDefault="00825A1B" w:rsidP="00825A1B">
      <w:pPr>
        <w:pStyle w:val="ListParagraph"/>
        <w:numPr>
          <w:ilvl w:val="0"/>
          <w:numId w:val="44"/>
        </w:numPr>
      </w:pPr>
      <w:r>
        <w:t>Payment matched to invoice</w:t>
      </w:r>
    </w:p>
    <w:p w14:paraId="63EA3EF4" w14:textId="77777777" w:rsidR="00825A1B" w:rsidRDefault="00825A1B" w:rsidP="00825A1B">
      <w:pPr>
        <w:pStyle w:val="ListParagraph"/>
        <w:numPr>
          <w:ilvl w:val="0"/>
          <w:numId w:val="44"/>
        </w:numPr>
      </w:pPr>
      <w:r>
        <w:t>Data passed to distribution</w:t>
      </w:r>
    </w:p>
    <w:p w14:paraId="2C7E1199" w14:textId="77777777" w:rsidR="00825A1B" w:rsidRDefault="00825A1B" w:rsidP="00825A1B">
      <w:pPr>
        <w:pStyle w:val="ListParagraph"/>
        <w:numPr>
          <w:ilvl w:val="0"/>
          <w:numId w:val="44"/>
        </w:numPr>
      </w:pPr>
      <w:r>
        <w:t>Monthly distribution run, commission and payment to societies calculated.</w:t>
      </w:r>
    </w:p>
    <w:p w14:paraId="7B75F731" w14:textId="77777777" w:rsidR="00825A1B" w:rsidRPr="001D3C0B" w:rsidRDefault="00825A1B" w:rsidP="00825A1B">
      <w:pPr>
        <w:pStyle w:val="ListParagraph"/>
        <w:numPr>
          <w:ilvl w:val="0"/>
          <w:numId w:val="44"/>
        </w:numPr>
        <w:rPr>
          <w:b/>
        </w:rPr>
      </w:pPr>
      <w:r w:rsidRPr="001D3C0B">
        <w:rPr>
          <w:b/>
        </w:rPr>
        <w:t>Commission recognised as revenue</w:t>
      </w:r>
    </w:p>
    <w:p w14:paraId="6CC0F10B" w14:textId="370534AE" w:rsidR="00EE1633" w:rsidRDefault="00825A1B" w:rsidP="00825A1B">
      <w:pPr>
        <w:pStyle w:val="ListParagraph"/>
        <w:numPr>
          <w:ilvl w:val="0"/>
          <w:numId w:val="44"/>
        </w:numPr>
      </w:pPr>
      <w:r>
        <w:t>Payment to societies made</w:t>
      </w:r>
    </w:p>
    <w:p w14:paraId="62B1EBAA" w14:textId="2D349C80" w:rsidR="00825A1B" w:rsidRDefault="00825A1B" w:rsidP="00825A1B">
      <w:pPr>
        <w:pStyle w:val="Heading1"/>
      </w:pPr>
      <w:bookmarkStart w:id="5" w:name="_Toc438540367"/>
      <w:r>
        <w:t>Recognition of revenue for a standard transaction (WHT)</w:t>
      </w:r>
      <w:bookmarkEnd w:id="5"/>
    </w:p>
    <w:p w14:paraId="188845CA" w14:textId="77777777" w:rsidR="00825A1B" w:rsidRDefault="00825A1B" w:rsidP="00825A1B">
      <w:pPr>
        <w:ind w:firstLine="45"/>
      </w:pPr>
      <w:r>
        <w:t>Sequence of events:-</w:t>
      </w:r>
    </w:p>
    <w:p w14:paraId="3EEA104E" w14:textId="77777777" w:rsidR="00825A1B" w:rsidRDefault="00825A1B" w:rsidP="00825A1B">
      <w:pPr>
        <w:pStyle w:val="ListParagraph"/>
        <w:numPr>
          <w:ilvl w:val="0"/>
          <w:numId w:val="45"/>
        </w:numPr>
      </w:pPr>
      <w:r>
        <w:t>Usage data received from DSP</w:t>
      </w:r>
    </w:p>
    <w:p w14:paraId="34804379" w14:textId="77777777" w:rsidR="00825A1B" w:rsidRDefault="00825A1B" w:rsidP="00825A1B">
      <w:pPr>
        <w:pStyle w:val="ListParagraph"/>
        <w:numPr>
          <w:ilvl w:val="0"/>
          <w:numId w:val="45"/>
        </w:numPr>
      </w:pPr>
      <w:r>
        <w:t>Data processed and files passed to CODA for invoicing</w:t>
      </w:r>
    </w:p>
    <w:p w14:paraId="37A94935" w14:textId="77777777" w:rsidR="00825A1B" w:rsidRDefault="00825A1B" w:rsidP="00825A1B">
      <w:pPr>
        <w:pStyle w:val="ListParagraph"/>
        <w:numPr>
          <w:ilvl w:val="0"/>
          <w:numId w:val="45"/>
        </w:numPr>
      </w:pPr>
      <w:r>
        <w:t>Invoice raised and sent to DSP</w:t>
      </w:r>
    </w:p>
    <w:p w14:paraId="746A3E55" w14:textId="77777777" w:rsidR="00825A1B" w:rsidRDefault="00825A1B" w:rsidP="00825A1B">
      <w:pPr>
        <w:pStyle w:val="ListParagraph"/>
        <w:numPr>
          <w:ilvl w:val="0"/>
          <w:numId w:val="45"/>
        </w:numPr>
      </w:pPr>
      <w:r>
        <w:t>DSP pays invoice less withholding tax</w:t>
      </w:r>
    </w:p>
    <w:p w14:paraId="2AE6390B" w14:textId="77777777" w:rsidR="00825A1B" w:rsidRDefault="00825A1B" w:rsidP="00825A1B">
      <w:pPr>
        <w:pStyle w:val="ListParagraph"/>
        <w:numPr>
          <w:ilvl w:val="0"/>
          <w:numId w:val="45"/>
        </w:numPr>
      </w:pPr>
      <w:r>
        <w:t>Payment matched to invoice and adjustment Journals made for WHT.</w:t>
      </w:r>
    </w:p>
    <w:p w14:paraId="5D271FB4" w14:textId="77777777" w:rsidR="00825A1B" w:rsidRDefault="00825A1B" w:rsidP="00825A1B">
      <w:pPr>
        <w:pStyle w:val="ListParagraph"/>
        <w:numPr>
          <w:ilvl w:val="0"/>
          <w:numId w:val="45"/>
        </w:numPr>
      </w:pPr>
      <w:r>
        <w:t>Data passed to distribution</w:t>
      </w:r>
    </w:p>
    <w:p w14:paraId="40F82BE2" w14:textId="224A74B0" w:rsidR="00825A1B" w:rsidRDefault="00825A1B" w:rsidP="00825A1B">
      <w:pPr>
        <w:pStyle w:val="ListParagraph"/>
        <w:numPr>
          <w:ilvl w:val="0"/>
          <w:numId w:val="45"/>
        </w:numPr>
      </w:pPr>
      <w:r>
        <w:t xml:space="preserve">Monthly distribution run, commission and payment to societies calculated on invoice value less </w:t>
      </w:r>
      <w:r w:rsidR="00554C80">
        <w:t xml:space="preserve">non-refundable </w:t>
      </w:r>
      <w:r>
        <w:t>WHT suffered</w:t>
      </w:r>
    </w:p>
    <w:p w14:paraId="0BB861BC" w14:textId="77777777" w:rsidR="00825A1B" w:rsidRDefault="00825A1B" w:rsidP="00825A1B">
      <w:pPr>
        <w:pStyle w:val="ListParagraph"/>
        <w:numPr>
          <w:ilvl w:val="0"/>
          <w:numId w:val="45"/>
        </w:numPr>
        <w:rPr>
          <w:b/>
        </w:rPr>
      </w:pPr>
      <w:r w:rsidRPr="001D3C0B">
        <w:rPr>
          <w:b/>
        </w:rPr>
        <w:t>Commission recognised as revenue</w:t>
      </w:r>
    </w:p>
    <w:p w14:paraId="04008419" w14:textId="77777777" w:rsidR="00E53896" w:rsidRDefault="00E53896" w:rsidP="00E53896">
      <w:pPr>
        <w:pStyle w:val="ListParagraph"/>
        <w:numPr>
          <w:ilvl w:val="0"/>
          <w:numId w:val="45"/>
        </w:numPr>
      </w:pPr>
      <w:r>
        <w:t>Payment to societies made</w:t>
      </w:r>
    </w:p>
    <w:p w14:paraId="78795756" w14:textId="77777777" w:rsidR="00E53896" w:rsidRDefault="00E53896" w:rsidP="00E53896"/>
    <w:p w14:paraId="2910B5AF" w14:textId="1868DCF9" w:rsidR="00825A1B" w:rsidRDefault="00825A1B" w:rsidP="00825A1B">
      <w:pPr>
        <w:pStyle w:val="Heading1"/>
      </w:pPr>
      <w:bookmarkStart w:id="6" w:name="_Toc438540368"/>
      <w:r>
        <w:lastRenderedPageBreak/>
        <w:t>Recognition of revenue for a lump sum or advance</w:t>
      </w:r>
      <w:bookmarkEnd w:id="6"/>
      <w:r w:rsidR="00E53896">
        <w:t xml:space="preserve"> (no WHT)</w:t>
      </w:r>
    </w:p>
    <w:p w14:paraId="4FB8B0B4" w14:textId="77777777" w:rsidR="00825A1B" w:rsidRDefault="00825A1B" w:rsidP="00825A1B">
      <w:r>
        <w:t>Sequence of events:-</w:t>
      </w:r>
    </w:p>
    <w:p w14:paraId="7B5FDA9B" w14:textId="521945A3" w:rsidR="00825A1B" w:rsidRDefault="00825A1B" w:rsidP="00825A1B">
      <w:pPr>
        <w:pStyle w:val="ListParagraph"/>
        <w:numPr>
          <w:ilvl w:val="0"/>
          <w:numId w:val="46"/>
        </w:numPr>
      </w:pPr>
      <w:r>
        <w:t>Lump sum/Advance invoiced raised and sent to DSP</w:t>
      </w:r>
    </w:p>
    <w:p w14:paraId="275257C2" w14:textId="77777777" w:rsidR="00825A1B" w:rsidRDefault="00825A1B" w:rsidP="00825A1B">
      <w:pPr>
        <w:pStyle w:val="ListParagraph"/>
        <w:numPr>
          <w:ilvl w:val="0"/>
          <w:numId w:val="46"/>
        </w:numPr>
      </w:pPr>
      <w:r>
        <w:t>DSP pays invoice in full</w:t>
      </w:r>
    </w:p>
    <w:p w14:paraId="1CFD733D" w14:textId="77777777" w:rsidR="00825A1B" w:rsidRDefault="00825A1B" w:rsidP="00825A1B">
      <w:pPr>
        <w:pStyle w:val="ListParagraph"/>
        <w:numPr>
          <w:ilvl w:val="0"/>
          <w:numId w:val="46"/>
        </w:numPr>
      </w:pPr>
      <w:r>
        <w:t>Payment matched to invoice</w:t>
      </w:r>
    </w:p>
    <w:p w14:paraId="423AA2C2" w14:textId="77777777" w:rsidR="00825A1B" w:rsidRDefault="00825A1B" w:rsidP="00825A1B">
      <w:pPr>
        <w:pStyle w:val="ListParagraph"/>
        <w:numPr>
          <w:ilvl w:val="0"/>
          <w:numId w:val="46"/>
        </w:numPr>
      </w:pPr>
      <w:r>
        <w:t>Data passed to distribution</w:t>
      </w:r>
    </w:p>
    <w:p w14:paraId="5E82BDC6" w14:textId="5C3CF3E8" w:rsidR="00825A1B" w:rsidRDefault="00825A1B" w:rsidP="00825A1B">
      <w:pPr>
        <w:pStyle w:val="ListParagraph"/>
        <w:numPr>
          <w:ilvl w:val="0"/>
          <w:numId w:val="46"/>
        </w:numPr>
      </w:pPr>
      <w:r>
        <w:t>Monthly distribution run, retained commission calculated and advance payment to societies calculated on invoice value</w:t>
      </w:r>
      <w:r w:rsidR="00554C80" w:rsidRPr="00554C80">
        <w:t xml:space="preserve"> </w:t>
      </w:r>
      <w:r w:rsidR="00554C80">
        <w:t xml:space="preserve">on the agreed split of the lump sum that was agreed by the Licensing and </w:t>
      </w:r>
      <w:proofErr w:type="spellStart"/>
      <w:r w:rsidR="00554C80">
        <w:t>Payout</w:t>
      </w:r>
      <w:proofErr w:type="spellEnd"/>
      <w:r w:rsidR="00554C80">
        <w:t xml:space="preserve"> Committee.</w:t>
      </w:r>
    </w:p>
    <w:p w14:paraId="58B731D7" w14:textId="77777777" w:rsidR="00825A1B" w:rsidRDefault="00825A1B" w:rsidP="00825A1B">
      <w:pPr>
        <w:pStyle w:val="ListParagraph"/>
        <w:numPr>
          <w:ilvl w:val="0"/>
          <w:numId w:val="46"/>
        </w:numPr>
      </w:pPr>
      <w:r>
        <w:t>Payment made to societies</w:t>
      </w:r>
    </w:p>
    <w:p w14:paraId="06FFE7F1" w14:textId="77777777" w:rsidR="00825A1B" w:rsidRDefault="00825A1B" w:rsidP="00825A1B">
      <w:pPr>
        <w:pStyle w:val="ListParagraph"/>
        <w:numPr>
          <w:ilvl w:val="0"/>
          <w:numId w:val="46"/>
        </w:numPr>
      </w:pPr>
      <w:r w:rsidRPr="00E927A4">
        <w:rPr>
          <w:b/>
        </w:rPr>
        <w:t>Dependant on the agreement with the Rights holder a proportion of commission is recognised as revenue</w:t>
      </w:r>
      <w:r>
        <w:t>.</w:t>
      </w:r>
    </w:p>
    <w:p w14:paraId="2271AC12" w14:textId="77777777" w:rsidR="00825A1B" w:rsidRDefault="00825A1B" w:rsidP="00825A1B">
      <w:pPr>
        <w:pStyle w:val="ListParagraph"/>
        <w:numPr>
          <w:ilvl w:val="0"/>
          <w:numId w:val="46"/>
        </w:numPr>
      </w:pPr>
      <w:r>
        <w:t>Usage data received from DSP</w:t>
      </w:r>
    </w:p>
    <w:p w14:paraId="7DE2E5C2" w14:textId="77777777" w:rsidR="00825A1B" w:rsidRDefault="00825A1B" w:rsidP="00825A1B">
      <w:pPr>
        <w:pStyle w:val="ListParagraph"/>
        <w:numPr>
          <w:ilvl w:val="0"/>
          <w:numId w:val="46"/>
        </w:numPr>
      </w:pPr>
      <w:r>
        <w:t>Data processed</w:t>
      </w:r>
    </w:p>
    <w:p w14:paraId="04953EAA" w14:textId="27FFAD57" w:rsidR="00825A1B" w:rsidRDefault="00554C80" w:rsidP="00825A1B">
      <w:pPr>
        <w:pStyle w:val="ListParagraph"/>
        <w:numPr>
          <w:ilvl w:val="0"/>
          <w:numId w:val="46"/>
        </w:numPr>
      </w:pPr>
      <w:r>
        <w:t xml:space="preserve">Rebalancing of income in line with actual usage </w:t>
      </w:r>
      <w:r w:rsidR="00825A1B">
        <w:t>and final calculation of commission and societies payments made.</w:t>
      </w:r>
    </w:p>
    <w:p w14:paraId="6C91A48C" w14:textId="77777777" w:rsidR="00825A1B" w:rsidRPr="001D3C0B" w:rsidRDefault="00825A1B" w:rsidP="00825A1B">
      <w:pPr>
        <w:pStyle w:val="ListParagraph"/>
        <w:numPr>
          <w:ilvl w:val="0"/>
          <w:numId w:val="46"/>
        </w:numPr>
        <w:rPr>
          <w:b/>
        </w:rPr>
      </w:pPr>
      <w:r w:rsidRPr="001D3C0B">
        <w:rPr>
          <w:b/>
        </w:rPr>
        <w:t>Remainder of commission recognised as revenue.</w:t>
      </w:r>
    </w:p>
    <w:p w14:paraId="1B6FC5CB" w14:textId="4DE479BB" w:rsidR="00825A1B" w:rsidRDefault="00825A1B" w:rsidP="00825A1B">
      <w:pPr>
        <w:pStyle w:val="ListParagraph"/>
        <w:numPr>
          <w:ilvl w:val="0"/>
          <w:numId w:val="46"/>
        </w:numPr>
      </w:pPr>
      <w:r>
        <w:t>Final payments made to societies.</w:t>
      </w:r>
    </w:p>
    <w:p w14:paraId="20C2770E" w14:textId="77777777" w:rsidR="00E53896" w:rsidRDefault="00E53896" w:rsidP="00E53896">
      <w:pPr>
        <w:pStyle w:val="ListParagraph"/>
        <w:ind w:left="765"/>
      </w:pPr>
    </w:p>
    <w:p w14:paraId="1E9FF15D" w14:textId="09F204C5" w:rsidR="00E53896" w:rsidRDefault="00E53896" w:rsidP="00E53896">
      <w:pPr>
        <w:pStyle w:val="Heading1"/>
      </w:pPr>
      <w:r>
        <w:t>Recognition of revenue for a lump sum or advance (WHT)</w:t>
      </w:r>
    </w:p>
    <w:p w14:paraId="78FB4251" w14:textId="77777777" w:rsidR="00E53896" w:rsidRDefault="00E53896" w:rsidP="00E53896">
      <w:r>
        <w:t>Sequence of events:-</w:t>
      </w:r>
    </w:p>
    <w:p w14:paraId="5A2C0CD8" w14:textId="2F3BD50E" w:rsidR="00E53896" w:rsidRDefault="00E53896" w:rsidP="00E53896">
      <w:pPr>
        <w:pStyle w:val="ListParagraph"/>
        <w:numPr>
          <w:ilvl w:val="0"/>
          <w:numId w:val="47"/>
        </w:numPr>
      </w:pPr>
      <w:r>
        <w:t>Lump sum/Advance invoiced raised and sent to DSP</w:t>
      </w:r>
    </w:p>
    <w:p w14:paraId="66F59834" w14:textId="243F9A36" w:rsidR="00E53896" w:rsidRDefault="00E53896" w:rsidP="00E53896">
      <w:pPr>
        <w:pStyle w:val="ListParagraph"/>
        <w:numPr>
          <w:ilvl w:val="0"/>
          <w:numId w:val="47"/>
        </w:numPr>
      </w:pPr>
      <w:r>
        <w:t>DSP pays invoice in full</w:t>
      </w:r>
      <w:r w:rsidR="00D74DD0">
        <w:t xml:space="preserve"> less withholding tax </w:t>
      </w:r>
    </w:p>
    <w:p w14:paraId="76DCE5A5" w14:textId="390E7978" w:rsidR="00E53896" w:rsidRDefault="00E53896" w:rsidP="00E53896">
      <w:pPr>
        <w:pStyle w:val="ListParagraph"/>
        <w:numPr>
          <w:ilvl w:val="0"/>
          <w:numId w:val="47"/>
        </w:numPr>
      </w:pPr>
      <w:r>
        <w:t>Payment matched to invoice</w:t>
      </w:r>
      <w:r w:rsidR="006C01BF">
        <w:t xml:space="preserve"> and adjustment journals made for WHT</w:t>
      </w:r>
    </w:p>
    <w:p w14:paraId="1362D438" w14:textId="77777777" w:rsidR="00E53896" w:rsidRDefault="00E53896" w:rsidP="00E53896">
      <w:pPr>
        <w:pStyle w:val="ListParagraph"/>
        <w:numPr>
          <w:ilvl w:val="0"/>
          <w:numId w:val="47"/>
        </w:numPr>
      </w:pPr>
      <w:r>
        <w:t>Data passed to distribution</w:t>
      </w:r>
    </w:p>
    <w:p w14:paraId="517423C3" w14:textId="47E2760F" w:rsidR="00E53896" w:rsidRDefault="00E53896" w:rsidP="00554C80">
      <w:pPr>
        <w:pStyle w:val="ListParagraph"/>
        <w:numPr>
          <w:ilvl w:val="0"/>
          <w:numId w:val="47"/>
        </w:numPr>
      </w:pPr>
      <w:r>
        <w:t xml:space="preserve">Monthly distribution run, retained commission calculated and advance payment to societies calculated on invoice value </w:t>
      </w:r>
      <w:r w:rsidRPr="006C01BF">
        <w:t xml:space="preserve">less </w:t>
      </w:r>
      <w:r w:rsidR="00554C80">
        <w:t xml:space="preserve">non-refundable WHT suffered on the agreed split of the lump sum that was agreed by the Licensing and </w:t>
      </w:r>
      <w:proofErr w:type="spellStart"/>
      <w:r w:rsidR="00554C80">
        <w:t>Payout</w:t>
      </w:r>
      <w:proofErr w:type="spellEnd"/>
      <w:r w:rsidR="00554C80">
        <w:t xml:space="preserve"> Committee</w:t>
      </w:r>
      <w:r w:rsidR="00554C80" w:rsidRPr="006C01BF">
        <w:t>.</w:t>
      </w:r>
    </w:p>
    <w:p w14:paraId="6F8CCB40" w14:textId="77777777" w:rsidR="00E53896" w:rsidRDefault="00E53896" w:rsidP="00E53896">
      <w:pPr>
        <w:pStyle w:val="ListParagraph"/>
        <w:numPr>
          <w:ilvl w:val="0"/>
          <w:numId w:val="47"/>
        </w:numPr>
      </w:pPr>
      <w:r>
        <w:t>Payment made to societies</w:t>
      </w:r>
    </w:p>
    <w:p w14:paraId="075E472C" w14:textId="77777777" w:rsidR="00E53896" w:rsidRDefault="00E53896" w:rsidP="00E53896">
      <w:pPr>
        <w:pStyle w:val="ListParagraph"/>
        <w:numPr>
          <w:ilvl w:val="0"/>
          <w:numId w:val="47"/>
        </w:numPr>
      </w:pPr>
      <w:r w:rsidRPr="001D3C0B">
        <w:rPr>
          <w:b/>
        </w:rPr>
        <w:t>Dependant on the agreement with the Rights holder a proportion of commission is recognised as revenue</w:t>
      </w:r>
      <w:r>
        <w:t>.</w:t>
      </w:r>
    </w:p>
    <w:p w14:paraId="46DD0C45" w14:textId="77777777" w:rsidR="00E53896" w:rsidRDefault="00E53896" w:rsidP="00E53896">
      <w:pPr>
        <w:pStyle w:val="ListParagraph"/>
        <w:numPr>
          <w:ilvl w:val="0"/>
          <w:numId w:val="47"/>
        </w:numPr>
      </w:pPr>
      <w:r>
        <w:t>Usage data received from DSP</w:t>
      </w:r>
    </w:p>
    <w:p w14:paraId="292C9021" w14:textId="77777777" w:rsidR="00E53896" w:rsidRDefault="00E53896" w:rsidP="00E53896">
      <w:pPr>
        <w:pStyle w:val="ListParagraph"/>
        <w:numPr>
          <w:ilvl w:val="0"/>
          <w:numId w:val="47"/>
        </w:numPr>
      </w:pPr>
      <w:r>
        <w:t>Data processed</w:t>
      </w:r>
    </w:p>
    <w:p w14:paraId="2DA20C65" w14:textId="245344A6" w:rsidR="00E53896" w:rsidRDefault="00554C80" w:rsidP="00E53896">
      <w:pPr>
        <w:pStyle w:val="ListParagraph"/>
        <w:numPr>
          <w:ilvl w:val="0"/>
          <w:numId w:val="47"/>
        </w:numPr>
      </w:pPr>
      <w:r>
        <w:t xml:space="preserve">Rebalancing of income in line with actual usage </w:t>
      </w:r>
      <w:r w:rsidR="00E53896">
        <w:t>and final calculation of commission and societies payments made.</w:t>
      </w:r>
    </w:p>
    <w:p w14:paraId="3CC24054" w14:textId="77777777" w:rsidR="00E53896" w:rsidRPr="001D3C0B" w:rsidRDefault="00E53896" w:rsidP="00E53896">
      <w:pPr>
        <w:pStyle w:val="ListParagraph"/>
        <w:numPr>
          <w:ilvl w:val="0"/>
          <w:numId w:val="47"/>
        </w:numPr>
        <w:rPr>
          <w:b/>
        </w:rPr>
      </w:pPr>
      <w:r w:rsidRPr="001D3C0B">
        <w:rPr>
          <w:b/>
        </w:rPr>
        <w:t>Remainder of commission recognised as revenue.</w:t>
      </w:r>
    </w:p>
    <w:p w14:paraId="032AB4DB" w14:textId="77777777" w:rsidR="00E53896" w:rsidRDefault="00E53896" w:rsidP="00E53896">
      <w:pPr>
        <w:pStyle w:val="ListParagraph"/>
        <w:numPr>
          <w:ilvl w:val="0"/>
          <w:numId w:val="47"/>
        </w:numPr>
      </w:pPr>
      <w:r>
        <w:t>Final payments made to societies.</w:t>
      </w:r>
    </w:p>
    <w:p w14:paraId="3D532FC0" w14:textId="77777777" w:rsidR="00E53896" w:rsidRDefault="00E53896" w:rsidP="00E53896">
      <w:pPr>
        <w:pStyle w:val="ListParagraph"/>
        <w:ind w:left="765"/>
      </w:pPr>
    </w:p>
    <w:p w14:paraId="5E02A1A2" w14:textId="7767F0E2" w:rsidR="00825A1B" w:rsidRDefault="00825A1B" w:rsidP="00B703CB">
      <w:pPr>
        <w:pStyle w:val="Heading1"/>
      </w:pPr>
      <w:bookmarkStart w:id="7" w:name="_Toc438540369"/>
      <w:r>
        <w:lastRenderedPageBreak/>
        <w:t>Service fees</w:t>
      </w:r>
      <w:bookmarkEnd w:id="7"/>
    </w:p>
    <w:p w14:paraId="5EDD8C98" w14:textId="0A3A4326" w:rsidR="00825A1B" w:rsidRDefault="00825A1B" w:rsidP="00825A1B">
      <w:r w:rsidRPr="00825A1B">
        <w:t>Service fees are</w:t>
      </w:r>
      <w:r w:rsidR="00E53896">
        <w:t xml:space="preserve"> </w:t>
      </w:r>
      <w:r w:rsidR="006C01BF">
        <w:t xml:space="preserve">the fee payable by the ICE Customer for the performance or delivery of services. </w:t>
      </w:r>
      <w:r w:rsidR="00E53896">
        <w:t>Services fees are</w:t>
      </w:r>
      <w:r w:rsidRPr="00825A1B">
        <w:t xml:space="preserve"> recognised as revenue in relation to the service tower with the SPV’s and the timings thereon.</w:t>
      </w:r>
    </w:p>
    <w:p w14:paraId="076556CF" w14:textId="77777777" w:rsidR="00825A1B" w:rsidRDefault="00825A1B" w:rsidP="00825A1B"/>
    <w:p w14:paraId="6990F653" w14:textId="153C9B95" w:rsidR="00825A1B" w:rsidRDefault="00825A1B" w:rsidP="00825A1B">
      <w:pPr>
        <w:pStyle w:val="Heading1"/>
      </w:pPr>
      <w:bookmarkStart w:id="8" w:name="_Toc438540370"/>
      <w:r>
        <w:t>Interest</w:t>
      </w:r>
      <w:bookmarkEnd w:id="8"/>
    </w:p>
    <w:p w14:paraId="3C9EB37E" w14:textId="7AEDF1C1" w:rsidR="00825A1B" w:rsidRDefault="00825A1B" w:rsidP="00825A1B">
      <w:r w:rsidRPr="00825A1B">
        <w:t>Interest earned on cash held is recognised on a monthly basis</w:t>
      </w:r>
    </w:p>
    <w:p w14:paraId="0CC1F1C9" w14:textId="77777777" w:rsidR="00825A1B" w:rsidRPr="00825A1B" w:rsidRDefault="00825A1B" w:rsidP="00825A1B"/>
    <w:p w14:paraId="43FB7A2D" w14:textId="5FA6601C" w:rsidR="00825A1B" w:rsidRDefault="00825A1B" w:rsidP="00825A1B">
      <w:pPr>
        <w:pStyle w:val="Heading1"/>
      </w:pPr>
      <w:bookmarkStart w:id="9" w:name="_Toc438540371"/>
      <w:r>
        <w:t>Other revenue</w:t>
      </w:r>
      <w:bookmarkEnd w:id="9"/>
    </w:p>
    <w:p w14:paraId="74678F90" w14:textId="2E77CE76" w:rsidR="00825A1B" w:rsidRDefault="00825A1B" w:rsidP="00825A1B">
      <w:r w:rsidRPr="00825A1B">
        <w:t>Other revenue represents miscellaneous other income not derived from core business and is recognised when it is earned.</w:t>
      </w:r>
    </w:p>
    <w:sectPr w:rsidR="00825A1B" w:rsidSect="002B3F31">
      <w:headerReference w:type="default" r:id="rId9"/>
      <w:footerReference w:type="default" r:id="rId10"/>
      <w:pgSz w:w="12240" w:h="15840"/>
      <w:pgMar w:top="1440" w:right="1325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3E4B5" w14:textId="77777777" w:rsidR="00B703CB" w:rsidRDefault="00B703CB" w:rsidP="00076C65">
      <w:r>
        <w:separator/>
      </w:r>
    </w:p>
  </w:endnote>
  <w:endnote w:type="continuationSeparator" w:id="0">
    <w:p w14:paraId="5D552094" w14:textId="77777777" w:rsidR="00B703CB" w:rsidRDefault="00B703CB" w:rsidP="0007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988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03AF7E" w14:textId="1A027A08" w:rsidR="00B703CB" w:rsidRPr="009A3D49" w:rsidRDefault="00B703CB">
        <w:pPr>
          <w:pStyle w:val="Footer"/>
          <w:jc w:val="center"/>
        </w:pPr>
        <w:r w:rsidRPr="009A3D49">
          <w:t xml:space="preserve"> </w:t>
        </w:r>
        <w:r w:rsidRPr="009A3D49">
          <w:fldChar w:fldCharType="begin"/>
        </w:r>
        <w:r w:rsidRPr="009A3D49">
          <w:instrText xml:space="preserve"> PAGE   \* MERGEFORMAT </w:instrText>
        </w:r>
        <w:r w:rsidRPr="009A3D49">
          <w:fldChar w:fldCharType="separate"/>
        </w:r>
        <w:r w:rsidR="002012AC">
          <w:rPr>
            <w:noProof/>
          </w:rPr>
          <w:t>5</w:t>
        </w:r>
        <w:r w:rsidRPr="009A3D49">
          <w:rPr>
            <w:noProof/>
          </w:rPr>
          <w:fldChar w:fldCharType="end"/>
        </w:r>
        <w:r w:rsidRPr="009A3D49">
          <w:rPr>
            <w:noProof/>
          </w:rPr>
          <w:t xml:space="preserve"> of </w:t>
        </w:r>
        <w:r w:rsidRPr="009A3D49">
          <w:rPr>
            <w:noProof/>
          </w:rPr>
          <w:fldChar w:fldCharType="begin"/>
        </w:r>
        <w:r w:rsidRPr="009A3D49">
          <w:rPr>
            <w:noProof/>
          </w:rPr>
          <w:instrText xml:space="preserve"> NUMPAGES   \* MERGEFORMAT </w:instrText>
        </w:r>
        <w:r w:rsidRPr="009A3D49">
          <w:rPr>
            <w:noProof/>
          </w:rPr>
          <w:fldChar w:fldCharType="separate"/>
        </w:r>
        <w:r w:rsidR="002012AC">
          <w:rPr>
            <w:noProof/>
          </w:rPr>
          <w:t>5</w:t>
        </w:r>
        <w:r w:rsidRPr="009A3D49">
          <w:rPr>
            <w:noProof/>
          </w:rPr>
          <w:fldChar w:fldCharType="end"/>
        </w:r>
      </w:p>
    </w:sdtContent>
  </w:sdt>
  <w:p w14:paraId="4B0A69AD" w14:textId="47983A5C" w:rsidR="00B703CB" w:rsidRDefault="00B703CB" w:rsidP="009A3D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C4A3E" w14:textId="77777777" w:rsidR="00B703CB" w:rsidRDefault="00B703CB" w:rsidP="00076C65">
      <w:r>
        <w:separator/>
      </w:r>
    </w:p>
  </w:footnote>
  <w:footnote w:type="continuationSeparator" w:id="0">
    <w:p w14:paraId="6E672EAE" w14:textId="77777777" w:rsidR="00B703CB" w:rsidRDefault="00B703CB" w:rsidP="0007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0BE3B" w14:textId="1FA2D583" w:rsidR="00B703CB" w:rsidRPr="009A3D49" w:rsidRDefault="00B703CB">
    <w:pPr>
      <w:pStyle w:val="Header"/>
      <w:rPr>
        <w:rFonts w:asciiTheme="majorHAnsi" w:hAnsiTheme="majorHAnsi"/>
        <w:color w:val="159DAB"/>
      </w:rPr>
    </w:pPr>
    <w:r w:rsidRPr="009A3D49">
      <w:rPr>
        <w:rFonts w:asciiTheme="majorHAnsi" w:hAnsiTheme="majorHAnsi"/>
        <w:color w:val="159DAB"/>
      </w:rPr>
      <w:t>ICE SERVICES POLICY</w:t>
    </w:r>
  </w:p>
  <w:p w14:paraId="1FC45E19" w14:textId="77777777" w:rsidR="00B703CB" w:rsidRDefault="00B70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8F1"/>
    <w:multiLevelType w:val="hybridMultilevel"/>
    <w:tmpl w:val="72F6B544"/>
    <w:lvl w:ilvl="0" w:tplc="76E83866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027A9"/>
    <w:multiLevelType w:val="hybridMultilevel"/>
    <w:tmpl w:val="5436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51E"/>
    <w:multiLevelType w:val="hybridMultilevel"/>
    <w:tmpl w:val="1C985FB0"/>
    <w:lvl w:ilvl="0" w:tplc="AED23B40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63FA7"/>
    <w:multiLevelType w:val="hybridMultilevel"/>
    <w:tmpl w:val="6774633E"/>
    <w:lvl w:ilvl="0" w:tplc="AED23B4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07CC"/>
    <w:multiLevelType w:val="hybridMultilevel"/>
    <w:tmpl w:val="4EA0A15A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C4C6FFE"/>
    <w:multiLevelType w:val="multilevel"/>
    <w:tmpl w:val="662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57B8F"/>
    <w:multiLevelType w:val="hybridMultilevel"/>
    <w:tmpl w:val="F21A88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96424"/>
    <w:multiLevelType w:val="hybridMultilevel"/>
    <w:tmpl w:val="107478C8"/>
    <w:lvl w:ilvl="0" w:tplc="AED23B4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5743"/>
    <w:multiLevelType w:val="hybridMultilevel"/>
    <w:tmpl w:val="EA58D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71EF2"/>
    <w:multiLevelType w:val="hybridMultilevel"/>
    <w:tmpl w:val="26C0DD6A"/>
    <w:lvl w:ilvl="0" w:tplc="7FA2E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272B4"/>
    <w:multiLevelType w:val="hybridMultilevel"/>
    <w:tmpl w:val="4A5C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F7947"/>
    <w:multiLevelType w:val="hybridMultilevel"/>
    <w:tmpl w:val="CD48EBCC"/>
    <w:lvl w:ilvl="0" w:tplc="AED23B4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22691"/>
    <w:multiLevelType w:val="hybridMultilevel"/>
    <w:tmpl w:val="720A6406"/>
    <w:lvl w:ilvl="0" w:tplc="76E8386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038C9"/>
    <w:multiLevelType w:val="hybridMultilevel"/>
    <w:tmpl w:val="BAE2E7BE"/>
    <w:lvl w:ilvl="0" w:tplc="1B5E3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3CED"/>
    <w:multiLevelType w:val="multilevel"/>
    <w:tmpl w:val="1C309E8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685152"/>
    <w:multiLevelType w:val="hybridMultilevel"/>
    <w:tmpl w:val="63A2AEF2"/>
    <w:lvl w:ilvl="0" w:tplc="8AA67DE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B213A5F"/>
    <w:multiLevelType w:val="multilevel"/>
    <w:tmpl w:val="16F0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EB77F8"/>
    <w:multiLevelType w:val="hybridMultilevel"/>
    <w:tmpl w:val="035889E2"/>
    <w:lvl w:ilvl="0" w:tplc="FE2ED2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C26A3"/>
    <w:multiLevelType w:val="hybridMultilevel"/>
    <w:tmpl w:val="FC70E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87C04"/>
    <w:multiLevelType w:val="hybridMultilevel"/>
    <w:tmpl w:val="34C27B30"/>
    <w:lvl w:ilvl="0" w:tplc="76E8386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4253"/>
    <w:multiLevelType w:val="hybridMultilevel"/>
    <w:tmpl w:val="4EA0A15A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D4C4280"/>
    <w:multiLevelType w:val="hybridMultilevel"/>
    <w:tmpl w:val="B68A43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2F21"/>
    <w:multiLevelType w:val="hybridMultilevel"/>
    <w:tmpl w:val="5DC028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F3C69"/>
    <w:multiLevelType w:val="hybridMultilevel"/>
    <w:tmpl w:val="A11E6C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52EAE"/>
    <w:multiLevelType w:val="hybridMultilevel"/>
    <w:tmpl w:val="30245C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80151"/>
    <w:multiLevelType w:val="hybridMultilevel"/>
    <w:tmpl w:val="7ADA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B60F2"/>
    <w:multiLevelType w:val="hybridMultilevel"/>
    <w:tmpl w:val="C18CD1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453E40"/>
    <w:multiLevelType w:val="hybridMultilevel"/>
    <w:tmpl w:val="A88ED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55B2E"/>
    <w:multiLevelType w:val="hybridMultilevel"/>
    <w:tmpl w:val="917485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A5937"/>
    <w:multiLevelType w:val="hybridMultilevel"/>
    <w:tmpl w:val="63FA0D7E"/>
    <w:lvl w:ilvl="0" w:tplc="E99E00C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750CF"/>
    <w:multiLevelType w:val="hybridMultilevel"/>
    <w:tmpl w:val="CD7803E2"/>
    <w:lvl w:ilvl="0" w:tplc="ED76815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80DF5"/>
    <w:multiLevelType w:val="hybridMultilevel"/>
    <w:tmpl w:val="4B52E6DC"/>
    <w:lvl w:ilvl="0" w:tplc="CBC00D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96C12"/>
    <w:multiLevelType w:val="hybridMultilevel"/>
    <w:tmpl w:val="90C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455AB"/>
    <w:multiLevelType w:val="multilevel"/>
    <w:tmpl w:val="A0C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FB5326"/>
    <w:multiLevelType w:val="hybridMultilevel"/>
    <w:tmpl w:val="453C7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82A99"/>
    <w:multiLevelType w:val="hybridMultilevel"/>
    <w:tmpl w:val="D52A67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69501D"/>
    <w:multiLevelType w:val="hybridMultilevel"/>
    <w:tmpl w:val="7AEE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53FF8"/>
    <w:multiLevelType w:val="hybridMultilevel"/>
    <w:tmpl w:val="93D865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E1CCB"/>
    <w:multiLevelType w:val="multilevel"/>
    <w:tmpl w:val="936E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3C6FB0"/>
    <w:multiLevelType w:val="hybridMultilevel"/>
    <w:tmpl w:val="117C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25421"/>
    <w:multiLevelType w:val="hybridMultilevel"/>
    <w:tmpl w:val="9AA8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46B65"/>
    <w:multiLevelType w:val="hybridMultilevel"/>
    <w:tmpl w:val="BFBE59EE"/>
    <w:lvl w:ilvl="0" w:tplc="AED23B40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643108"/>
    <w:multiLevelType w:val="hybridMultilevel"/>
    <w:tmpl w:val="5DBE9490"/>
    <w:lvl w:ilvl="0" w:tplc="AED23B4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27F98"/>
    <w:multiLevelType w:val="hybridMultilevel"/>
    <w:tmpl w:val="67ACC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D4EC9"/>
    <w:multiLevelType w:val="hybridMultilevel"/>
    <w:tmpl w:val="9B32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9"/>
  </w:num>
  <w:num w:numId="10">
    <w:abstractNumId w:val="14"/>
  </w:num>
  <w:num w:numId="11">
    <w:abstractNumId w:val="32"/>
  </w:num>
  <w:num w:numId="12">
    <w:abstractNumId w:val="36"/>
  </w:num>
  <w:num w:numId="13">
    <w:abstractNumId w:val="19"/>
  </w:num>
  <w:num w:numId="14">
    <w:abstractNumId w:val="0"/>
  </w:num>
  <w:num w:numId="15">
    <w:abstractNumId w:val="44"/>
  </w:num>
  <w:num w:numId="16">
    <w:abstractNumId w:val="1"/>
  </w:num>
  <w:num w:numId="17">
    <w:abstractNumId w:val="12"/>
  </w:num>
  <w:num w:numId="18">
    <w:abstractNumId w:val="6"/>
  </w:num>
  <w:num w:numId="19">
    <w:abstractNumId w:val="34"/>
  </w:num>
  <w:num w:numId="20">
    <w:abstractNumId w:val="42"/>
  </w:num>
  <w:num w:numId="21">
    <w:abstractNumId w:val="2"/>
  </w:num>
  <w:num w:numId="22">
    <w:abstractNumId w:val="41"/>
  </w:num>
  <w:num w:numId="23">
    <w:abstractNumId w:val="7"/>
  </w:num>
  <w:num w:numId="24">
    <w:abstractNumId w:val="11"/>
  </w:num>
  <w:num w:numId="25">
    <w:abstractNumId w:val="3"/>
  </w:num>
  <w:num w:numId="26">
    <w:abstractNumId w:val="26"/>
  </w:num>
  <w:num w:numId="27">
    <w:abstractNumId w:val="8"/>
  </w:num>
  <w:num w:numId="28">
    <w:abstractNumId w:val="40"/>
  </w:num>
  <w:num w:numId="29">
    <w:abstractNumId w:val="35"/>
  </w:num>
  <w:num w:numId="30">
    <w:abstractNumId w:val="27"/>
  </w:num>
  <w:num w:numId="31">
    <w:abstractNumId w:val="10"/>
  </w:num>
  <w:num w:numId="32">
    <w:abstractNumId w:val="24"/>
  </w:num>
  <w:num w:numId="33">
    <w:abstractNumId w:val="37"/>
  </w:num>
  <w:num w:numId="34">
    <w:abstractNumId w:val="31"/>
  </w:num>
  <w:num w:numId="35">
    <w:abstractNumId w:val="23"/>
  </w:num>
  <w:num w:numId="36">
    <w:abstractNumId w:val="28"/>
  </w:num>
  <w:num w:numId="37">
    <w:abstractNumId w:val="18"/>
  </w:num>
  <w:num w:numId="38">
    <w:abstractNumId w:val="29"/>
  </w:num>
  <w:num w:numId="39">
    <w:abstractNumId w:val="43"/>
  </w:num>
  <w:num w:numId="40">
    <w:abstractNumId w:val="25"/>
  </w:num>
  <w:num w:numId="41">
    <w:abstractNumId w:val="22"/>
  </w:num>
  <w:num w:numId="42">
    <w:abstractNumId w:val="30"/>
  </w:num>
  <w:num w:numId="43">
    <w:abstractNumId w:val="39"/>
  </w:num>
  <w:num w:numId="44">
    <w:abstractNumId w:val="21"/>
  </w:num>
  <w:num w:numId="45">
    <w:abstractNumId w:val="20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A2"/>
    <w:rsid w:val="00043E09"/>
    <w:rsid w:val="00076C65"/>
    <w:rsid w:val="000F035E"/>
    <w:rsid w:val="00104378"/>
    <w:rsid w:val="00144CB5"/>
    <w:rsid w:val="001A5070"/>
    <w:rsid w:val="001B7625"/>
    <w:rsid w:val="001D27A5"/>
    <w:rsid w:val="001D3C0B"/>
    <w:rsid w:val="002012AC"/>
    <w:rsid w:val="00205EA5"/>
    <w:rsid w:val="00293BFA"/>
    <w:rsid w:val="002B251D"/>
    <w:rsid w:val="002B3F31"/>
    <w:rsid w:val="002E4822"/>
    <w:rsid w:val="0030082B"/>
    <w:rsid w:val="00300B24"/>
    <w:rsid w:val="00307573"/>
    <w:rsid w:val="00343DA2"/>
    <w:rsid w:val="00445477"/>
    <w:rsid w:val="00474BBA"/>
    <w:rsid w:val="0048690B"/>
    <w:rsid w:val="0048773E"/>
    <w:rsid w:val="004B76A6"/>
    <w:rsid w:val="004F2496"/>
    <w:rsid w:val="005034D7"/>
    <w:rsid w:val="00522EC9"/>
    <w:rsid w:val="00554C80"/>
    <w:rsid w:val="00573696"/>
    <w:rsid w:val="005B1CDA"/>
    <w:rsid w:val="005D4CB6"/>
    <w:rsid w:val="006109D7"/>
    <w:rsid w:val="00612622"/>
    <w:rsid w:val="00630DE3"/>
    <w:rsid w:val="006624E0"/>
    <w:rsid w:val="00677874"/>
    <w:rsid w:val="00683BA5"/>
    <w:rsid w:val="006C01BF"/>
    <w:rsid w:val="006C0B6E"/>
    <w:rsid w:val="006C7A3B"/>
    <w:rsid w:val="00711AD4"/>
    <w:rsid w:val="00717D86"/>
    <w:rsid w:val="00775BA2"/>
    <w:rsid w:val="007937A9"/>
    <w:rsid w:val="00796DFE"/>
    <w:rsid w:val="007A7B81"/>
    <w:rsid w:val="00815D2F"/>
    <w:rsid w:val="00825A1B"/>
    <w:rsid w:val="008901F9"/>
    <w:rsid w:val="008D4223"/>
    <w:rsid w:val="00920A86"/>
    <w:rsid w:val="009A3D49"/>
    <w:rsid w:val="009A3FBD"/>
    <w:rsid w:val="009D3F2B"/>
    <w:rsid w:val="00A200B0"/>
    <w:rsid w:val="00A373D0"/>
    <w:rsid w:val="00AA5600"/>
    <w:rsid w:val="00AB1CC8"/>
    <w:rsid w:val="00AB6418"/>
    <w:rsid w:val="00AC0930"/>
    <w:rsid w:val="00AD2414"/>
    <w:rsid w:val="00AE063D"/>
    <w:rsid w:val="00AE5887"/>
    <w:rsid w:val="00AE7A86"/>
    <w:rsid w:val="00AF04BD"/>
    <w:rsid w:val="00AF6CE6"/>
    <w:rsid w:val="00B579C0"/>
    <w:rsid w:val="00B703CB"/>
    <w:rsid w:val="00BC01BB"/>
    <w:rsid w:val="00BD08D0"/>
    <w:rsid w:val="00BD6DDE"/>
    <w:rsid w:val="00BD7470"/>
    <w:rsid w:val="00C27C00"/>
    <w:rsid w:val="00C32D65"/>
    <w:rsid w:val="00C478B7"/>
    <w:rsid w:val="00C820BE"/>
    <w:rsid w:val="00C966C6"/>
    <w:rsid w:val="00CD4564"/>
    <w:rsid w:val="00CD471A"/>
    <w:rsid w:val="00D0400F"/>
    <w:rsid w:val="00D3466E"/>
    <w:rsid w:val="00D57BFE"/>
    <w:rsid w:val="00D74DD0"/>
    <w:rsid w:val="00D817C3"/>
    <w:rsid w:val="00DD1267"/>
    <w:rsid w:val="00E11A44"/>
    <w:rsid w:val="00E13BED"/>
    <w:rsid w:val="00E34671"/>
    <w:rsid w:val="00E53896"/>
    <w:rsid w:val="00E927A4"/>
    <w:rsid w:val="00EA3B44"/>
    <w:rsid w:val="00EE1633"/>
    <w:rsid w:val="00EE32FB"/>
    <w:rsid w:val="00F01E5D"/>
    <w:rsid w:val="00F1078A"/>
    <w:rsid w:val="00F22852"/>
    <w:rsid w:val="00F3314A"/>
    <w:rsid w:val="00F53E4C"/>
    <w:rsid w:val="00F62AC2"/>
    <w:rsid w:val="00FA4DA2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B68FCB4"/>
  <w15:chartTrackingRefBased/>
  <w15:docId w15:val="{3AE3208F-983B-42FA-BFF9-FC58E868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0B0"/>
    <w:rPr>
      <w:rFonts w:asciiTheme="minorHAnsi" w:eastAsiaTheme="minorEastAsia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825A1B"/>
    <w:pPr>
      <w:keepNext/>
      <w:keepLines/>
      <w:numPr>
        <w:numId w:val="10"/>
      </w:numPr>
      <w:spacing w:before="240" w:after="120"/>
      <w:outlineLvl w:val="0"/>
    </w:pPr>
    <w:rPr>
      <w:rFonts w:asciiTheme="majorHAnsi" w:eastAsiaTheme="majorEastAsia" w:hAnsiTheme="majorHAnsi" w:cstheme="majorBidi"/>
      <w:color w:val="159DAB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B3F3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808080" w:themeColor="background1" w:themeShade="80"/>
      <w:sz w:val="24"/>
      <w:szCs w:val="26"/>
    </w:rPr>
  </w:style>
  <w:style w:type="paragraph" w:styleId="Heading5">
    <w:name w:val="heading 5"/>
    <w:basedOn w:val="Normal"/>
    <w:link w:val="Heading5Char"/>
    <w:qFormat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locked/>
    <w:rPr>
      <w:rFonts w:asciiTheme="majorHAnsi" w:eastAsiaTheme="majorEastAsia" w:hAnsiTheme="majorHAnsi" w:cstheme="majorBidi" w:hint="default"/>
      <w:color w:val="244061"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Pr>
      <w:rFonts w:cs="Times New Roman"/>
    </w:rPr>
  </w:style>
  <w:style w:type="paragraph" w:styleId="CommentText">
    <w:name w:val="annotation text"/>
    <w:basedOn w:val="Normal"/>
    <w:link w:val="CommentTextChar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locked/>
    <w:rPr>
      <w:rFonts w:ascii="Times" w:hAnsi="Times" w:cs="Times" w:hint="default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locked/>
    <w:rPr>
      <w:rFonts w:ascii="Times" w:hAnsi="Times" w:cs="Times" w:hint="default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Lucida Grande" w:hAnsi="Lucida Grande" w:hint="default"/>
      <w:sz w:val="18"/>
      <w:szCs w:val="18"/>
      <w:lang w:val="en-GB"/>
    </w:rPr>
  </w:style>
  <w:style w:type="paragraph" w:customStyle="1" w:styleId="text-align-left">
    <w:name w:val="text-align-left"/>
    <w:basedOn w:val="Normal"/>
  </w:style>
  <w:style w:type="paragraph" w:customStyle="1" w:styleId="text-align-center">
    <w:name w:val="text-align-center"/>
    <w:basedOn w:val="Normal"/>
    <w:pPr>
      <w:jc w:val="center"/>
    </w:pPr>
  </w:style>
  <w:style w:type="paragraph" w:customStyle="1" w:styleId="text-align-right">
    <w:name w:val="text-align-right"/>
    <w:basedOn w:val="Normal"/>
    <w:pPr>
      <w:jc w:val="right"/>
    </w:pPr>
  </w:style>
  <w:style w:type="paragraph" w:customStyle="1" w:styleId="quote-box">
    <w:name w:val="quote-box"/>
    <w:basedOn w:val="Normal"/>
    <w:pPr>
      <w:pBdr>
        <w:top w:val="single" w:sz="4" w:space="8" w:color="ABABAB"/>
        <w:left w:val="single" w:sz="4" w:space="8" w:color="ABABAB"/>
        <w:bottom w:val="single" w:sz="4" w:space="8" w:color="ABABAB"/>
        <w:right w:val="single" w:sz="4" w:space="8" w:color="ABABAB"/>
      </w:pBdr>
    </w:pPr>
  </w:style>
  <w:style w:type="paragraph" w:customStyle="1" w:styleId="article-content-download">
    <w:name w:val="article-content-download"/>
    <w:basedOn w:val="Normal"/>
    <w:pPr>
      <w:pBdr>
        <w:top w:val="single" w:sz="4" w:space="8" w:color="ABABAB"/>
        <w:left w:val="single" w:sz="4" w:space="8" w:color="ABABAB"/>
        <w:bottom w:val="single" w:sz="4" w:space="8" w:color="ABABAB"/>
        <w:right w:val="single" w:sz="4" w:space="8" w:color="ABABAB"/>
      </w:pBdr>
    </w:pPr>
  </w:style>
  <w:style w:type="paragraph" w:customStyle="1" w:styleId="key-points">
    <w:name w:val="key-points"/>
    <w:basedOn w:val="Normal"/>
    <w:pPr>
      <w:pBdr>
        <w:top w:val="single" w:sz="4" w:space="8" w:color="ABABAB"/>
        <w:left w:val="single" w:sz="4" w:space="8" w:color="ABABAB"/>
        <w:bottom w:val="single" w:sz="4" w:space="8" w:color="ABABAB"/>
        <w:right w:val="single" w:sz="4" w:space="8" w:color="ABABAB"/>
      </w:pBdr>
    </w:pPr>
  </w:style>
  <w:style w:type="paragraph" w:customStyle="1" w:styleId="article-box">
    <w:name w:val="article-box"/>
    <w:basedOn w:val="Normal"/>
    <w:pPr>
      <w:pBdr>
        <w:top w:val="single" w:sz="4" w:space="8" w:color="ABABAB"/>
        <w:left w:val="single" w:sz="4" w:space="8" w:color="ABABAB"/>
        <w:bottom w:val="single" w:sz="4" w:space="8" w:color="ABABAB"/>
        <w:right w:val="single" w:sz="4" w:space="8" w:color="ABABAB"/>
      </w:pBdr>
    </w:p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NoSpacing">
    <w:name w:val="No Spacing"/>
    <w:aliases w:val="R11-Inget avstånd"/>
    <w:link w:val="NoSpacingChar"/>
    <w:uiPriority w:val="1"/>
    <w:qFormat/>
    <w:rsid w:val="00293BFA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NoSpacingChar">
    <w:name w:val="No Spacing Char"/>
    <w:aliases w:val="R11-Inget avstånd Char"/>
    <w:basedOn w:val="DefaultParagraphFont"/>
    <w:link w:val="NoSpacing"/>
    <w:uiPriority w:val="1"/>
    <w:rsid w:val="00293BFA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Header">
    <w:name w:val="header"/>
    <w:basedOn w:val="Normal"/>
    <w:link w:val="HeaderChar"/>
    <w:uiPriority w:val="99"/>
    <w:unhideWhenUsed/>
    <w:rsid w:val="00076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C65"/>
    <w:rPr>
      <w:rFonts w:ascii="Times" w:eastAsiaTheme="minorEastAsia" w:hAnsi="Times" w:cstheme="minorBidi"/>
    </w:rPr>
  </w:style>
  <w:style w:type="paragraph" w:styleId="Footer">
    <w:name w:val="footer"/>
    <w:basedOn w:val="Normal"/>
    <w:link w:val="FooterChar"/>
    <w:uiPriority w:val="99"/>
    <w:unhideWhenUsed/>
    <w:rsid w:val="00076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C65"/>
    <w:rPr>
      <w:rFonts w:ascii="Times" w:eastAsiaTheme="minorEastAsia" w:hAnsi="Times" w:cstheme="minorBidi"/>
    </w:rPr>
  </w:style>
  <w:style w:type="character" w:customStyle="1" w:styleId="Heading1Char">
    <w:name w:val="Heading 1 Char"/>
    <w:basedOn w:val="DefaultParagraphFont"/>
    <w:link w:val="Heading1"/>
    <w:rsid w:val="00825A1B"/>
    <w:rPr>
      <w:rFonts w:asciiTheme="majorHAnsi" w:eastAsiaTheme="majorEastAsia" w:hAnsiTheme="majorHAnsi" w:cstheme="majorBidi"/>
      <w:color w:val="159DAB"/>
      <w:sz w:val="32"/>
      <w:szCs w:val="32"/>
    </w:rPr>
  </w:style>
  <w:style w:type="table" w:styleId="TableGrid">
    <w:name w:val="Table Grid"/>
    <w:basedOn w:val="TableNormal"/>
    <w:uiPriority w:val="39"/>
    <w:rsid w:val="00AE58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887"/>
    <w:pPr>
      <w:spacing w:after="160" w:line="259" w:lineRule="auto"/>
      <w:ind w:left="720"/>
      <w:contextualSpacing/>
    </w:pPr>
    <w:rPr>
      <w:rFonts w:eastAsiaTheme="minorHAnsi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D471A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D471A"/>
    <w:pPr>
      <w:tabs>
        <w:tab w:val="left" w:pos="426"/>
        <w:tab w:val="right" w:leader="dot" w:pos="9105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D47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B3F31"/>
    <w:rPr>
      <w:rFonts w:asciiTheme="majorHAnsi" w:eastAsiaTheme="majorEastAsia" w:hAnsiTheme="majorHAnsi" w:cstheme="majorBidi"/>
      <w:b/>
      <w:color w:val="808080" w:themeColor="background1" w:themeShade="80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01E5D"/>
    <w:pPr>
      <w:tabs>
        <w:tab w:val="left" w:pos="426"/>
        <w:tab w:val="right" w:leader="dot" w:pos="9105"/>
      </w:tabs>
      <w:spacing w:after="100"/>
      <w:ind w:left="709"/>
    </w:pPr>
  </w:style>
  <w:style w:type="character" w:customStyle="1" w:styleId="ms-rtecustom-emphasis1">
    <w:name w:val="ms-rtecustom-emphasis1"/>
    <w:basedOn w:val="DefaultParagraphFont"/>
    <w:rsid w:val="00AD2414"/>
    <w:rPr>
      <w:rFonts w:ascii="Verdana" w:hAnsi="Verdana" w:hint="default"/>
      <w:b/>
      <w:bCs/>
    </w:rPr>
  </w:style>
  <w:style w:type="character" w:customStyle="1" w:styleId="ms-rtecustom-subhead1">
    <w:name w:val="ms-rtecustom-subhead1"/>
    <w:basedOn w:val="DefaultParagraphFont"/>
    <w:rsid w:val="00AD2414"/>
    <w:rPr>
      <w:b/>
      <w:bCs/>
      <w:color w:val="4C4C4C"/>
      <w:sz w:val="28"/>
      <w:szCs w:val="28"/>
    </w:rPr>
  </w:style>
  <w:style w:type="table" w:customStyle="1" w:styleId="TableGrid0">
    <w:name w:val="TableGrid"/>
    <w:rsid w:val="000F03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5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93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641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158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907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388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42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285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78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993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801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868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483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5960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3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70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6035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8380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51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462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01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904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6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379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063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407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8151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45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016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D67A-364E-4EBA-BD17-911679E5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712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Mascarenas</dc:creator>
  <cp:keywords/>
  <dc:description/>
  <cp:lastModifiedBy>ICE Services - Clara Boerkamp</cp:lastModifiedBy>
  <cp:revision>8</cp:revision>
  <cp:lastPrinted>2015-10-16T14:40:00Z</cp:lastPrinted>
  <dcterms:created xsi:type="dcterms:W3CDTF">2016-01-11T15:13:00Z</dcterms:created>
  <dcterms:modified xsi:type="dcterms:W3CDTF">2016-03-29T12:52:00Z</dcterms:modified>
</cp:coreProperties>
</file>